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**ID__DARS_15.6061__ID**</w:t>
      </w:r>
    </w:p>
    <w:p>
      <w:pPr>
        <w:pStyle w:val="Heading3"/>
        <w:spacing w:after="199"/>
        <w:ind w:left="120"/>
        <w:jc w:val="left"/>
      </w:pPr>
      <w:r>
        <w:rPr>
          <w:rFonts w:ascii="Times New Roman" w:hAnsi="Times New Roman"/>
          <w:color w:val="000000"/>
          <w:sz w:val="31"/>
        </w:rPr>
        <w:t>15.606-1</w:t>
      </w:r>
      <w:r>
        <w:rPr>
          <w:rFonts w:ascii="Times New Roman" w:hAnsi="Times New Roman"/>
          <w:color w:val="000000"/>
          <w:sz w:val="31"/>
        </w:rPr>
        <w:t xml:space="preserve"> Receipt and initial review.</w:t>
      </w:r>
    </w:p>
    <w:p>
      <w:pPr>
        <w:pBdr>
          <w:top w:space="5"/>
          <w:left w:space="5"/>
          <w:bottom w:space="5"/>
          <w:right w:space="5"/>
        </w:pBdr>
        <w:spacing w:after="0"/>
        <w:ind w:left="225"/>
        <w:jc w:val="left"/>
      </w:pPr>
      <w:r>
        <w:rPr>
          <w:rFonts w:ascii="Times New Roman" w:hAnsi="Times New Roman"/>
          <w:b w:val="false"/>
          <w:i w:val="false"/>
          <w:color w:val="000000"/>
          <w:sz w:val="22"/>
        </w:rPr>
        <w:t>(S-90) PL22 shall maintain an unsolicited proposal log which includes, at a minimum, the company name, proposal title, DITCO Contracting Office, Technical POC, date unsolicited proposal was received, final disposition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(S-91) PL22 will perform the initial review within 10 business days of receipt of the unsolicited proposal. Before initiating a comprehensive evaluation, PL22 shall make the determination the unsolicited proposal meets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