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**ID__DARS_217.7402__ID**</w:t>
      </w:r>
    </w:p>
    <w:p>
      <w:pPr>
        <w:pStyle w:val="Heading3"/>
        <w:spacing w:after="199"/>
        <w:ind w:left="120"/>
        <w:jc w:val="left"/>
      </w:pPr>
      <w:r>
        <w:rPr>
          <w:rFonts w:ascii="Times New Roman" w:hAnsi="Times New Roman"/>
          <w:color w:val="000000"/>
          <w:sz w:val="31"/>
        </w:rPr>
        <w:t>217.7402</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(a)The following Undefinitized Contract Actions (UCA) are not subject to this subpart.</w:t>
      </w:r>
    </w:p>
    <w:p>
      <w:pPr>
        <w:pBdr>
          <w:top w:space="5"/>
          <w:left w:space="5"/>
          <w:bottom w:space="5"/>
          <w:right w:space="5"/>
        </w:pBdr>
        <w:spacing w:after="0"/>
        <w:ind w:left="225"/>
        <w:jc w:val="left"/>
      </w:pPr>
      <w:r>
        <w:rPr>
          <w:rFonts w:ascii="Times New Roman" w:hAnsi="Times New Roman"/>
          <w:b w:val="false"/>
          <w:i w:val="false"/>
          <w:color w:val="000000"/>
          <w:sz w:val="22"/>
        </w:rPr>
        <w:t>(1) Telecommunications contract actions at or below the simplified acquisition threshold for:</w:t>
      </w:r>
    </w:p>
    <w:p>
      <w:pPr>
        <w:pBdr>
          <w:top w:space="5"/>
          <w:left w:space="5"/>
          <w:bottom w:space="5"/>
          <w:right w:space="5"/>
        </w:pBdr>
        <w:spacing w:after="0"/>
        <w:ind w:left="225"/>
        <w:jc w:val="left"/>
      </w:pPr>
      <w:r>
        <w:rPr>
          <w:rFonts w:ascii="Times New Roman" w:hAnsi="Times New Roman"/>
          <w:b w:val="false"/>
          <w:i w:val="false"/>
          <w:color w:val="000000"/>
          <w:sz w:val="22"/>
        </w:rPr>
        <w:t>(i) Temporary circuits associated with presidential travel or in support of the US Secret Service, the Office of the Secretary of Defense, and Office of Special Events ordered via the Basic Agreements; and,</w:t>
      </w:r>
    </w:p>
    <w:p>
      <w:pPr>
        <w:pBdr>
          <w:top w:space="5"/>
          <w:left w:space="5"/>
          <w:bottom w:space="5"/>
          <w:right w:space="5"/>
        </w:pBdr>
        <w:spacing w:after="0"/>
        <w:ind w:left="225"/>
        <w:jc w:val="left"/>
      </w:pPr>
      <w:r>
        <w:rPr>
          <w:rFonts w:ascii="Times New Roman" w:hAnsi="Times New Roman"/>
          <w:b w:val="false"/>
          <w:i w:val="false"/>
          <w:color w:val="000000"/>
          <w:sz w:val="22"/>
        </w:rPr>
        <w:t>(ii) CLINs associated with travel on the White House Communications Agency Travel Contract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