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**ID__DARS_217.74043__ID**</w:t>
      </w:r>
    </w:p>
    <w:p>
      <w:pPr>
        <w:pStyle w:val="Heading3"/>
        <w:spacing w:after="199"/>
        <w:ind w:left="120"/>
        <w:jc w:val="left"/>
      </w:pPr>
      <w:r>
        <w:rPr>
          <w:rFonts w:ascii="Times New Roman" w:hAnsi="Times New Roman"/>
          <w:color w:val="000000"/>
          <w:sz w:val="31"/>
        </w:rPr>
        <w:t>217.7404-3</w:t>
      </w:r>
      <w:r>
        <w:rPr>
          <w:rFonts w:ascii="Times New Roman" w:hAnsi="Times New Roman"/>
          <w:color w:val="000000"/>
          <w:sz w:val="31"/>
        </w:rPr>
        <w:t xml:space="preserve"> Definitization schedule.</w:t>
      </w:r>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PLD.list.pld-front-office-staff@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