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**ID__DARS_219.201__ID**</w:t>
      </w:r>
    </w:p>
    <w:p>
      <w:pPr>
        <w:pStyle w:val="Heading3"/>
        <w:spacing w:after="199"/>
        <w:ind w:left="120"/>
        <w:jc w:val="left"/>
      </w:pPr>
      <w:r>
        <w:rPr>
          <w:rFonts w:ascii="Times New Roman" w:hAnsi="Times New Roman"/>
          <w:color w:val="000000"/>
          <w:sz w:val="31"/>
        </w:rPr>
        <w:t>219.201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(c)(10) The Office of Small Business Programs (OSBP) is required to:</w:t>
      </w:r>
    </w:p>
    <w:p>
      <w:pPr>
        <w:pBdr>
          <w:top w:space="5"/>
          <w:left w:space="5"/>
          <w:bottom w:space="5"/>
          <w:right w:space="5"/>
        </w:pBdr>
        <w:spacing w:after="0"/>
        <w:ind w:left="225"/>
        <w:jc w:val="left"/>
      </w:pPr>
      <w:r>
        <w:rPr>
          <w:rFonts w:ascii="Times New Roman" w:hAnsi="Times New Roman"/>
          <w:b w:val="false"/>
          <w:i w:val="false"/>
          <w:color w:val="000000"/>
          <w:sz w:val="22"/>
        </w:rPr>
        <w:t>(i) Conduct the review of, and concur with, the DD Form 2579 prior to any public announcement or release of information regarding the acquisition strategy, issuance of the solicitation, or communicating with the Small Business Administration (SBA) 8(a) Program regarding a requirement.</w:t>
      </w:r>
    </w:p>
    <w:p>
      <w:pPr>
        <w:pBdr>
          <w:top w:space="5"/>
          <w:left w:space="5"/>
          <w:bottom w:space="5"/>
          <w:right w:space="5"/>
        </w:pBdr>
        <w:spacing w:after="0"/>
        <w:ind w:left="225"/>
        <w:jc w:val="left"/>
      </w:pPr>
      <w:r>
        <w:rPr>
          <w:rFonts w:ascii="Times New Roman" w:hAnsi="Times New Roman"/>
          <w:b w:val="false"/>
          <w:i w:val="false"/>
          <w:color w:val="000000"/>
          <w:sz w:val="22"/>
        </w:rPr>
        <w:t>(ii) Review all written consolidation D&amp;Fs, acquisition plans, and/or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(iii) Assist in market research efforts;</w:t>
      </w:r>
    </w:p>
    <w:p>
      <w:pPr>
        <w:pBdr>
          <w:top w:space="5"/>
          <w:left w:space="5"/>
          <w:bottom w:space="5"/>
          <w:right w:space="5"/>
        </w:pBdr>
        <w:spacing w:after="0"/>
        <w:ind w:left="225"/>
        <w:jc w:val="left"/>
      </w:pPr>
      <w:r>
        <w:rPr>
          <w:rFonts w:ascii="Times New Roman" w:hAnsi="Times New Roman"/>
          <w:b w:val="false"/>
          <w:i w:val="false"/>
          <w:color w:val="000000"/>
          <w:sz w:val="22"/>
        </w:rPr>
        <w:t xml:space="preserve">(iv) (S-90)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 xml:space="preserve"> email address shall be used by DISA personnel to communicate with the DISA OSBP.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disa.meade.osbp.mbx.ditco-small-business-office@mail.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