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**ID__DARS_27.9001__ID**</w:t>
      </w:r>
    </w:p>
    <w:p>
      <w:pPr>
        <w:pStyle w:val="Heading3"/>
        <w:spacing w:after="199"/>
        <w:ind w:left="120"/>
        <w:jc w:val="left"/>
      </w:pPr>
      <w:r>
        <w:rPr>
          <w:rFonts w:ascii="Times New Roman" w:hAnsi="Times New Roman"/>
          <w:color w:val="000000"/>
          <w:sz w:val="31"/>
        </w:rPr>
        <w:t>27.9001</w:t>
      </w:r>
      <w:r>
        <w:rPr>
          <w:rFonts w:ascii="Times New Roman" w:hAnsi="Times New Roman"/>
          <w:color w:val="000000"/>
          <w:sz w:val="31"/>
        </w:rPr>
        <w:t xml:space="preserve"> Trademark rights under government contracts.</w:t>
      </w:r>
    </w:p>
    <w:p>
      <w:pPr>
        <w:pBdr>
          <w:top w:space="5"/>
          <w:left w:space="5"/>
          <w:bottom w:space="5"/>
          <w:right w:space="5"/>
        </w:pBdr>
        <w:spacing w:after="0"/>
        <w:ind w:left="225"/>
        <w:jc w:val="left"/>
      </w:pPr>
      <w:r>
        <w:rPr>
          <w:rFonts w:ascii="Times New Roman" w:hAnsi="Times New Roman"/>
          <w:b w:val="false"/>
          <w:i w:val="false"/>
          <w:color w:val="000000"/>
          <w:sz w:val="22"/>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pPr>
        <w:pBdr>
          <w:top w:space="5"/>
          <w:left w:space="5"/>
          <w:bottom w:space="5"/>
          <w:right w:space="5"/>
        </w:pBdr>
        <w:spacing w:after="0"/>
        <w:ind w:left="225"/>
        <w:jc w:val="left"/>
      </w:pPr>
      <w:r>
        <w:rPr>
          <w:rFonts w:ascii="Times New Roman" w:hAnsi="Times New Roman"/>
          <w:b w:val="false"/>
          <w:i w:val="false"/>
          <w:color w:val="000000"/>
          <w:sz w:val="22"/>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