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**ID__DARS_1.6031__ID**</w:t>
      </w:r>
    </w:p>
    <w:p>
      <w:pPr>
        <w:pStyle w:val="Heading3"/>
        <w:spacing w:after="199"/>
        <w:ind w:left="120"/>
        <w:jc w:val="left"/>
      </w:pPr>
      <w:r>
        <w:rPr>
          <w:rFonts w:ascii="Times New Roman" w:hAnsi="Times New Roman"/>
          <w:color w:val="000000"/>
          <w:sz w:val="31"/>
        </w:rPr>
        <w:t>1.603-1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Authority for selection, appointment, and terminate an appointment for contracting officers is</w:t>
      </w:r>
    </w:p>
    <w:p>
      <w:pPr>
        <w:pBdr>
          <w:top w:space="5"/>
          <w:left w:space="5"/>
          <w:bottom w:space="5"/>
          <w:right w:space="5"/>
        </w:pBdr>
        <w:spacing w:after="0"/>
        <w:ind w:left="225"/>
        <w:jc w:val="left"/>
      </w:pPr>
      <w:r>
        <w:rPr>
          <w:rFonts w:ascii="Times New Roman" w:hAnsi="Times New Roman"/>
          <w:b w:val="false"/>
          <w:i w:val="false"/>
          <w:color w:val="000000"/>
          <w:sz w:val="22"/>
        </w:rPr>
        <w:t>delegated to the DISA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(S-90) The types of contracting officer appointments are described in Table 1-3:</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3</w:t>
      </w:r>
      <w:r>
        <w:rPr>
          <w:rFonts w:ascii="Times New Roman" w:hAnsi="Times New Roman"/>
          <w:b/>
          <w:i w:val="false"/>
          <w:color w:val="000000"/>
          <w:sz w:val="22"/>
        </w:rPr>
        <w:t>Contracting Officer Appointments and Requirements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02"/>
        <w:gridCol w:w="2542"/>
        <w:gridCol w:w="2646"/>
        <w:gridCol w:w="2646"/>
        <w:gridCol w:w="3038"/>
      </w:tblGrid>
      <w:tr>
        <w:trPr>
          <w:trHeight w:val="810" w:hRule="atLeast"/>
        </w:trPr>
        <w:tc>
          <w:tcPr>
            <w:tcW w:w="27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 Appointment</w:t>
            </w:r>
          </w:p>
        </w:tc>
        <w:tc>
          <w:tcPr>
            <w:tcW w:w="25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Training Qualifications</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Assessment Requirements</w:t>
            </w:r>
          </w:p>
        </w:tc>
        <w:tc>
          <w:tcPr>
            <w:tcW w:w="30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SF 1402 Statement</w:t>
            </w:r>
          </w:p>
        </w:tc>
      </w:tr>
      <w:tr>
        <w:trPr>
          <w:trHeight w:val="7395" w:hRule="atLeast"/>
        </w:trPr>
        <w:tc>
          <w:tcPr>
            <w:tcW w:w="27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Communications Management &amp; Control Activity (CMCA)</w:t>
            </w:r>
          </w:p>
        </w:tc>
        <w:tc>
          <w:tcPr>
            <w:tcW w:w="25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$25K / $100K</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2685" w:hRule="atLeast"/>
        </w:trPr>
        <w:tc>
          <w:tcPr>
            <w:tcW w:w="27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Closeout</w:t>
            </w:r>
          </w:p>
        </w:tc>
        <w:tc>
          <w:tcPr>
            <w:tcW w:w="25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Contracting</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contract closeout actions up to the Simplified Acquisition Threshold (SAT). No termination authority is granted.</w:t>
            </w:r>
          </w:p>
        </w:tc>
      </w:tr>
      <w:tr>
        <w:trPr>
          <w:trHeight w:val="4635" w:hRule="atLeast"/>
        </w:trPr>
        <w:tc>
          <w:tcPr>
            <w:tcW w:w="27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Networx/EIS</w:t>
            </w:r>
          </w:p>
        </w:tc>
        <w:tc>
          <w:tcPr>
            <w:tcW w:w="25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 Purchasing or Contracting</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tc>
      </w:tr>
      <w:tr>
        <w:trPr>
          <w:trHeight w:val="8475" w:hRule="atLeast"/>
        </w:trPr>
        <w:tc>
          <w:tcPr>
            <w:tcW w:w="27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White House Communications Agency (WHCA)</w:t>
            </w:r>
          </w:p>
        </w:tc>
        <w:tc>
          <w:tcPr>
            <w:tcW w:w="25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Varies up to</w:t>
            </w:r>
          </w:p>
          <w:p>
            <w:pPr>
              <w:pBdr>
                <w:top w:space="5"/>
                <w:left w:space="5"/>
                <w:bottom w:space="5"/>
                <w:right w:space="5"/>
              </w:pBdr>
              <w:spacing w:after="0"/>
              <w:ind w:left="240"/>
              <w:jc w:val="left"/>
            </w:pPr>
            <w:r>
              <w:rPr>
                <w:rFonts w:ascii="Times New Roman" w:hAnsi="Times New Roman"/>
                <w:b w:val="false"/>
                <w:i w:val="false"/>
                <w:color w:val="000000"/>
                <w:sz w:val="22"/>
              </w:rPr>
              <w:t>$5M</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Contracting</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except, contract authority is $xxx,xxx for orders issued against existing Government contracts or contracts established under FAR Part 8 and Part 16 procedures. No authority to contract for telecommunications services that are usage based, including monthly recurring charges, or are subject to regulatory tariffs is included.</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6225" w:hRule="atLeast"/>
        </w:trPr>
        <w:tc>
          <w:tcPr>
            <w:tcW w:w="27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p>
            <w:pPr>
              <w:pBdr>
                <w:top w:space="5"/>
                <w:left w:space="5"/>
                <w:bottom w:space="5"/>
                <w:right w:space="5"/>
              </w:pBdr>
              <w:spacing w:after="0"/>
              <w:ind w:left="240"/>
              <w:jc w:val="left"/>
            </w:pPr>
            <w:r>
              <w:rPr>
                <w:rFonts w:ascii="Times New Roman" w:hAnsi="Times New Roman"/>
                <w:b w:val="false"/>
                <w:i w:val="false"/>
                <w:color w:val="000000"/>
                <w:sz w:val="22"/>
              </w:rPr>
              <w:t>$1M, $5M,</w:t>
            </w:r>
          </w:p>
          <w:p>
            <w:pPr>
              <w:pBdr>
                <w:top w:space="5"/>
                <w:left w:space="5"/>
                <w:bottom w:space="5"/>
                <w:right w:space="5"/>
              </w:pBdr>
              <w:spacing w:after="0"/>
              <w:ind w:left="240"/>
              <w:jc w:val="left"/>
            </w:pPr>
            <w:r>
              <w:rPr>
                <w:rFonts w:ascii="Times New Roman" w:hAnsi="Times New Roman"/>
                <w:b w:val="false"/>
                <w:i w:val="false"/>
                <w:color w:val="000000"/>
                <w:sz w:val="22"/>
              </w:rPr>
              <w:t>$10M,</w:t>
            </w:r>
          </w:p>
          <w:p>
            <w:pPr>
              <w:pBdr>
                <w:top w:space="5"/>
                <w:left w:space="5"/>
                <w:bottom w:space="5"/>
                <w:right w:space="5"/>
              </w:pBdr>
              <w:spacing w:after="0"/>
              <w:ind w:left="240"/>
              <w:jc w:val="left"/>
            </w:pPr>
            <w:r>
              <w:rPr>
                <w:rFonts w:ascii="Times New Roman" w:hAnsi="Times New Roman"/>
                <w:b w:val="false"/>
                <w:i w:val="false"/>
                <w:color w:val="000000"/>
                <w:sz w:val="22"/>
              </w:rPr>
              <w:t>$25M</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contract actions up to the Simplified Acquisition Threshold (SAT). Termination authority is limited to the amount of contract authority.</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2625" w:hRule="atLeast"/>
        </w:trPr>
        <w:tc>
          <w:tcPr>
            <w:tcW w:w="27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w:t>
            </w:r>
          </w:p>
          <w:p>
            <w:pPr>
              <w:pBdr>
                <w:top w:space="5"/>
                <w:left w:space="5"/>
                <w:bottom w:space="5"/>
                <w:right w:space="5"/>
              </w:pBdr>
              <w:spacing w:after="0"/>
              <w:ind w:left="240"/>
              <w:jc w:val="left"/>
            </w:pPr>
            <w:r>
              <w:rPr>
                <w:rFonts w:ascii="Times New Roman" w:hAnsi="Times New Roman"/>
                <w:b w:val="false"/>
                <w:i w:val="false"/>
                <w:color w:val="000000"/>
                <w:sz w:val="22"/>
              </w:rPr>
              <w:t>$250M or</w:t>
            </w:r>
          </w:p>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50 question “Contracting Officer Appointment Test””</w:t>
            </w:r>
          </w:p>
        </w:tc>
        <w:tc>
          <w:tcPr>
            <w:tcW w:w="30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6165" w:hRule="atLeast"/>
        </w:trPr>
        <w:tc>
          <w:tcPr>
            <w:tcW w:w="27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5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III</w:t>
            </w:r>
          </w:p>
          <w:p>
            <w:pPr>
              <w:pBdr>
                <w:top w:space="5"/>
                <w:left w:space="5"/>
                <w:bottom w:space="5"/>
                <w:right w:space="5"/>
              </w:pBdr>
              <w:spacing w:after="0"/>
              <w:ind w:left="240"/>
              <w:jc w:val="left"/>
            </w:pPr>
            <w:r>
              <w:rPr>
                <w:rFonts w:ascii="Times New Roman" w:hAnsi="Times New Roman"/>
                <w:b w:val="false"/>
                <w:i w:val="false"/>
                <w:color w:val="000000"/>
                <w:sz w:val="22"/>
              </w:rPr>
              <w:t>- Contracting</w:t>
            </w:r>
          </w:p>
        </w:tc>
        <w:tc>
          <w:tcPr>
            <w:tcW w:w="26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a “Contracting Officer Appointment Review Board” and have already passed a “Contracting Officer Appointment Test” (either 30, 40 or 50 questions; if the applicant has never taken the Contracting Officer Appointment Test, the applicant must pass a 50-question test)</w:t>
            </w:r>
          </w:p>
        </w:tc>
        <w:tc>
          <w:tcPr>
            <w:tcW w:w="30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limitations.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Waivers.</w:t>
      </w:r>
      <w:r>
        <w:rPr>
          <w:rFonts w:ascii="Times New Roman" w:hAnsi="Times New Roman"/>
          <w:b w:val="false"/>
          <w:i w:val="false"/>
          <w:color w:val="000000"/>
          <w:sz w:val="22"/>
        </w:rPr>
        <w:t xml:space="preserve"> The HCA may waive warrant requirements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Type of Assessments.</w:t>
      </w:r>
      <w:r>
        <w:rPr>
          <w:rFonts w:ascii="Times New Roman" w:hAnsi="Times New Roman"/>
          <w:b w:val="false"/>
          <w:i w:val="false"/>
          <w:color w:val="000000"/>
          <w:sz w:val="22"/>
        </w:rPr>
        <w:t xml:space="preserve"> The types of assessments are described in Table 1-3 and below. It is the responsibility of a candidate’s supervisory chain, CoCO and HCO to ensure a candidate is prepared for each of the three requirements.</w:t>
      </w:r>
    </w:p>
    <w:p>
      <w:pPr>
        <w:pBdr>
          <w:top w:space="5"/>
          <w:left w:space="5"/>
          <w:bottom w:space="5"/>
          <w:right w:space="5"/>
        </w:pBdr>
        <w:spacing w:after="0"/>
        <w:ind w:left="225"/>
        <w:jc w:val="center"/>
      </w:pPr>
      <w:r>
        <w:rPr>
          <w:rFonts w:ascii="Times New Roman" w:hAnsi="Times New Roman"/>
          <w:b/>
          <w:i w:val="false"/>
          <w:color w:val="000000"/>
          <w:sz w:val="22"/>
        </w:rPr>
        <w:t>Table 1-4 Contracting Officer Assessment Requirements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Assessment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Required For</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Contracting Officer Appointment Test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warrants; see Table 1-2 for</w:t>
            </w:r>
          </w:p>
          <w:p>
            <w:pPr>
              <w:pBdr>
                <w:top w:space="5"/>
                <w:left w:space="5"/>
                <w:bottom w:space="5"/>
                <w:right w:space="5"/>
              </w:pBdr>
              <w:spacing w:after="0"/>
              <w:ind w:left="240"/>
              <w:jc w:val="left"/>
            </w:pPr>
            <w:r>
              <w:rPr>
                <w:rFonts w:ascii="Times New Roman" w:hAnsi="Times New Roman"/>
                <w:b w:val="false"/>
                <w:i w:val="false"/>
                <w:color w:val="000000"/>
                <w:sz w:val="22"/>
              </w:rPr>
              <w:t>number of questions and exceptions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Contracting Officer Appointment Review Board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 warrants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 Appointment Procedures</w:t>
      </w:r>
      <w:r>
        <w:rPr>
          <w:rFonts w:ascii="Times New Roman" w:hAnsi="Times New Roman"/>
          <w:b w:val="false"/>
          <w:i w:val="false"/>
          <w:color w:val="000000"/>
          <w:sz w:val="22"/>
        </w:rPr>
        <w:t xml:space="preserve">. The procedures for this section can be found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https://disa.deps.mil/org/PL2/Pages/DITCORefs.aspx</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ages/DITCORefs.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