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**ID__DARS_32.901__ID**</w:t>
      </w:r>
    </w:p>
    <w:p>
      <w:pPr>
        <w:pStyle w:val="Heading3"/>
        <w:spacing w:after="199"/>
        <w:ind w:left="120"/>
        <w:jc w:val="left"/>
      </w:pPr>
      <w:r>
        <w:rPr>
          <w:rFonts w:ascii="Times New Roman" w:hAnsi="Times New Roman"/>
          <w:color w:val="000000"/>
          <w:sz w:val="31"/>
        </w:rPr>
        <w:t>32.901</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