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**ID__DARS_1.9000__ID**</w:t>
      </w:r>
    </w:p>
    <w:p>
      <w:pPr>
        <w:pStyle w:val="Heading3"/>
        <w:spacing w:after="199"/>
        <w:ind w:left="120"/>
        <w:jc w:val="left"/>
      </w:pPr>
      <w:r>
        <w:rPr>
          <w:rFonts w:ascii="Times New Roman" w:hAnsi="Times New Roman"/>
          <w:color w:val="000000"/>
          <w:sz w:val="31"/>
        </w:rPr>
        <w:t>1.9000</w:t>
      </w:r>
      <w:r>
        <w:rPr>
          <w:rFonts w:ascii="Times New Roman" w:hAnsi="Times New Roman"/>
          <w:color w:val="000000"/>
          <w:sz w:val="31"/>
        </w:rPr>
        <w:t xml:space="preserve"> Review and approval of contract actions.</w:t>
      </w:r>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Contract Decision Authority (CDA)</w:t>
      </w:r>
      <w:r>
        <w:rPr>
          <w:rFonts w:ascii="Times New Roman" w:hAnsi="Times New Roman"/>
          <w:b w:val="false"/>
          <w:i w:val="false"/>
          <w:color w:val="000000"/>
          <w:sz w:val="22"/>
        </w:rPr>
        <w:t xml:space="preserve"> means the individuals delegated the authority to review and approve contract actions and contract approvals.</w:t>
      </w:r>
    </w:p>
    <w:p>
      <w:pPr>
        <w:pBdr>
          <w:top w:space="5"/>
          <w:left w:space="5"/>
          <w:bottom w:space="5"/>
          <w:right w:space="5"/>
        </w:pBdr>
        <w:spacing w:after="0"/>
        <w:ind w:left="225"/>
        <w:jc w:val="left"/>
      </w:pPr>
      <w:r>
        <w:rPr>
          <w:rFonts w:ascii="Times New Roman" w:hAnsi="Times New Roman"/>
          <w:b w:val="false"/>
          <w:i/>
          <w:color w:val="000000"/>
          <w:sz w:val="22"/>
        </w:rPr>
        <w:t>Contract Approval</w:t>
      </w:r>
      <w:r>
        <w:rPr>
          <w:rFonts w:ascii="Times New Roman" w:hAnsi="Times New Roman"/>
          <w:b w:val="false"/>
          <w:i w:val="false"/>
          <w:color w:val="000000"/>
          <w:sz w:val="22"/>
        </w:rPr>
        <w:t xml:space="preserve"> means for competitive acquisitions conducted with or without discussions, approval by the Contract Decision Authority (CDA) or Source Selection Authority (SSA) to authorize the contracting officer to award a contract or order.</w:t>
      </w:r>
    </w:p>
    <w:p>
      <w:pPr>
        <w:pBdr>
          <w:top w:space="5"/>
          <w:left w:space="5"/>
          <w:bottom w:space="5"/>
          <w:right w:space="5"/>
        </w:pBdr>
        <w:spacing w:after="0"/>
        <w:ind w:left="225"/>
        <w:jc w:val="left"/>
      </w:pPr>
      <w:r>
        <w:rPr>
          <w:rFonts w:ascii="Times New Roman" w:hAnsi="Times New Roman"/>
          <w:b w:val="false"/>
          <w:i/>
          <w:color w:val="000000"/>
          <w:sz w:val="22"/>
        </w:rPr>
        <w:t>(b) Exclusions.</w:t>
      </w:r>
    </w:p>
    <w:p>
      <w:pPr>
        <w:pBdr>
          <w:top w:space="5"/>
          <w:left w:space="5"/>
          <w:bottom w:space="5"/>
          <w:right w:space="5"/>
        </w:pBdr>
        <w:spacing w:after="0"/>
        <w:ind w:left="225"/>
        <w:jc w:val="left"/>
      </w:pPr>
      <w:r>
        <w:rPr>
          <w:rFonts w:ascii="Times New Roman" w:hAnsi="Times New Roman"/>
          <w:b w:val="false"/>
          <w:i w:val="false"/>
          <w:color w:val="000000"/>
          <w:sz w:val="22"/>
        </w:rPr>
        <w:t>(1) An extension modification or contract award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(2) An order issued against an existing contract, BOA or BPA if:</w:t>
      </w:r>
    </w:p>
    <w:p>
      <w:pPr>
        <w:pBdr>
          <w:top w:space="5"/>
          <w:left w:space="5"/>
          <w:bottom w:space="5"/>
          <w:right w:space="5"/>
        </w:pBdr>
        <w:spacing w:after="0"/>
        <w:ind w:left="225"/>
        <w:jc w:val="left"/>
      </w:pPr>
      <w:r>
        <w:rPr>
          <w:rFonts w:ascii="Times New Roman" w:hAnsi="Times New Roman"/>
          <w:b w:val="false"/>
          <w:i w:val="false"/>
          <w:color w:val="000000"/>
          <w:sz w:val="22"/>
        </w:rPr>
        <w:t>(i) Prices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 All other terms and conditions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(iii) The basic contract, BOA or BPA was reviewed and found legally sufficient; and</w:t>
      </w:r>
    </w:p>
    <w:p>
      <w:pPr>
        <w:pBdr>
          <w:top w:space="5"/>
          <w:left w:space="5"/>
          <w:bottom w:space="5"/>
          <w:right w:space="5"/>
        </w:pBdr>
        <w:spacing w:after="0"/>
        <w:ind w:left="225"/>
        <w:jc w:val="left"/>
      </w:pPr>
      <w:r>
        <w:rPr>
          <w:rFonts w:ascii="Times New Roman" w:hAnsi="Times New Roman"/>
          <w:b w:val="false"/>
          <w:i w:val="false"/>
          <w:color w:val="000000"/>
          <w:sz w:val="22"/>
        </w:rPr>
        <w:t>(iv) There are no negotiations (i.e., no proposal, formal or informal, is necessary for the order to be issued) involved in the award of the proposed order under the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(3) The order is issued against a single award contract, BOA or BPA.</w:t>
      </w:r>
    </w:p>
    <w:p>
      <w:pPr>
        <w:pBdr>
          <w:top w:space="5"/>
          <w:left w:space="5"/>
          <w:bottom w:space="5"/>
          <w:right w:space="5"/>
        </w:pBdr>
        <w:spacing w:after="0"/>
        <w:ind w:left="225"/>
        <w:jc w:val="left"/>
      </w:pPr>
      <w:r>
        <w:rPr>
          <w:rFonts w:ascii="Times New Roman" w:hAnsi="Times New Roman"/>
          <w:b w:val="false"/>
          <w:i w:val="false"/>
          <w:color w:val="000000"/>
          <w:sz w:val="22"/>
        </w:rPr>
        <w:t xml:space="preserve">(4) Inquiries issued in accordance with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Inquiry/Quote/Order (IQO) Acquisition</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However, Orders issued as a result of the inquiries, are not excluded from the contract review and approval.</w:t>
      </w:r>
    </w:p>
    <w:p>
      <w:pPr>
        <w:pBdr>
          <w:top w:space="5"/>
          <w:left w:space="5"/>
          <w:bottom w:space="5"/>
          <w:right w:space="5"/>
        </w:pBdr>
        <w:spacing w:after="0"/>
        <w:ind w:left="225"/>
        <w:jc w:val="left"/>
      </w:pPr>
      <w:r>
        <w:rPr>
          <w:rFonts w:ascii="Times New Roman" w:hAnsi="Times New Roman"/>
          <w:b w:val="false"/>
          <w:i w:val="false"/>
          <w:color w:val="000000"/>
          <w:sz w:val="22"/>
        </w:rPr>
        <w:t>(5) Contract actions that solely provide incremental funding, incentive fee funding, award fee funding, or other administrative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(6) Priced options that were previously established in the basic contract/order and that are exercised in accordance with the established prices and terms and conditions of the contract/order.</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Procurement actions are subject to various review levels and thresholds as set forth below.</w:t>
      </w:r>
    </w:p>
    <w:p>
      <w:pPr>
        <w:pBdr>
          <w:top w:space="5"/>
          <w:left w:space="5"/>
          <w:bottom w:space="5"/>
          <w:right w:space="5"/>
        </w:pBdr>
        <w:spacing w:after="0"/>
        <w:ind w:left="225"/>
        <w:jc w:val="left"/>
      </w:pPr>
      <w:r>
        <w:rPr>
          <w:rFonts w:ascii="Times New Roman" w:hAnsi="Times New Roman"/>
          <w:b w:val="false"/>
          <w:i w:val="false"/>
          <w:color w:val="000000"/>
          <w:sz w:val="22"/>
        </w:rPr>
        <w:t>Note: HCOs and CoCOs are accountable for procurement quality. HCOs and CoCOs will establish an internal review, self-inspection program to review contract files not less than annually to ensure quality standards are maintained for all procurement actions within their respective offices, including simplified acquisitions. The HCO and/or CoCO is responsible for identifying the quality control measures implemented for the DITCO in the Manager's Internal Control Program. The results of the quality inspections will be provided to PL2 for trend analysis, training purposes, and future PMRs.</w:t>
      </w:r>
    </w:p>
    <w:p>
      <w:pPr>
        <w:pBdr>
          <w:top w:space="5"/>
          <w:left w:space="5"/>
          <w:bottom w:space="5"/>
          <w:right w:space="5"/>
        </w:pBdr>
        <w:spacing w:after="0"/>
        <w:ind w:left="225"/>
        <w:jc w:val="left"/>
      </w:pPr>
      <w:r>
        <w:rPr>
          <w:rFonts w:ascii="Times New Roman" w:hAnsi="Times New Roman"/>
          <w:b w:val="false"/>
          <w:i w:val="false"/>
          <w:color w:val="000000"/>
          <w:sz w:val="22"/>
        </w:rPr>
        <w:t>(1) The objectives of the review and approval process are to ensure that:</w:t>
      </w:r>
    </w:p>
    <w:p>
      <w:pPr>
        <w:pBdr>
          <w:top w:space="5"/>
          <w:left w:space="5"/>
          <w:bottom w:space="5"/>
          <w:right w:space="5"/>
        </w:pBdr>
        <w:spacing w:after="0"/>
        <w:ind w:left="225"/>
        <w:jc w:val="left"/>
      </w:pPr>
      <w:r>
        <w:rPr>
          <w:rFonts w:ascii="Times New Roman" w:hAnsi="Times New Roman"/>
          <w:b w:val="false"/>
          <w:i w:val="false"/>
          <w:color w:val="000000"/>
          <w:sz w:val="22"/>
        </w:rPr>
        <w:t>(i) Contract actions effectively implement approved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 Negotiations and contract actions result in fair and reasonable business arrangements;</w:t>
      </w:r>
    </w:p>
    <w:p>
      <w:pPr>
        <w:pBdr>
          <w:top w:space="5"/>
          <w:left w:space="5"/>
          <w:bottom w:space="5"/>
          <w:right w:space="5"/>
        </w:pBdr>
        <w:spacing w:after="0"/>
        <w:ind w:left="225"/>
        <w:jc w:val="left"/>
      </w:pPr>
      <w:r>
        <w:rPr>
          <w:rFonts w:ascii="Times New Roman" w:hAnsi="Times New Roman"/>
          <w:b w:val="false"/>
          <w:i w:val="false"/>
          <w:color w:val="000000"/>
          <w:sz w:val="22"/>
        </w:rPr>
        <w:t>(iii) Negotiations and contract actions are consistent with laws,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(iv) An independent review and assessment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 xml:space="preserve">(2) Contract actions meeting the contract value thresholds set 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1.9000(c)(2) shall not be awarded without obtaining the required review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General Counsel (GC)/Legal and Policy Compliance</w:t>
      </w:r>
      <w:r>
        <w:rPr>
          <w:rFonts w:ascii="Times New Roman" w:hAnsi="Times New Roman"/>
          <w:b w:val="false"/>
          <w:i/>
          <w:color w:val="000000"/>
          <w:sz w:val="22"/>
        </w:rPr>
        <w:t>Reviews.</w:t>
      </w:r>
    </w:p>
    <w:p>
      <w:pPr>
        <w:pBdr>
          <w:top w:space="5"/>
          <w:left w:space="5"/>
          <w:bottom w:space="5"/>
          <w:right w:space="5"/>
        </w:pBdr>
        <w:spacing w:after="0"/>
        <w:ind w:left="225"/>
        <w:jc w:val="left"/>
      </w:pPr>
      <w:r>
        <w:rPr>
          <w:rFonts w:ascii="Times New Roman" w:hAnsi="Times New Roman"/>
          <w:b w:val="false"/>
          <w:i w:val="false"/>
          <w:color w:val="000000"/>
          <w:sz w:val="22"/>
        </w:rPr>
        <w:t>(1) Legal (GC) and Policy Compliance (PL22) reviews shall be obtained prior to submission to the CDA/SSA.</w:t>
      </w:r>
    </w:p>
    <w:p>
      <w:pPr>
        <w:pBdr>
          <w:top w:space="5"/>
          <w:left w:space="5"/>
          <w:bottom w:space="5"/>
          <w:right w:space="5"/>
        </w:pBdr>
        <w:spacing w:after="0"/>
        <w:ind w:left="225"/>
        <w:jc w:val="left"/>
      </w:pPr>
      <w:r>
        <w:rPr>
          <w:rFonts w:ascii="Times New Roman" w:hAnsi="Times New Roman"/>
          <w:b w:val="false"/>
          <w:i w:val="false"/>
          <w:color w:val="000000"/>
          <w:sz w:val="22"/>
        </w:rPr>
        <w:t>(i) Legal and Policy Compliance review thresholds. PL8 (non-telecommunications): $10M for task orders, $10M for supplies / hardware, and $6.5M for all other procurement actions; PLA, PL5, PL7 and PL8 (telecommunications): $6.5M for all procurement actions. PL6: $6.5M for Legal reviews, see DARS PGI 1.9000(d)(5) for compliance reviews. All broad agency announcements (BAA) require legal review.</w:t>
      </w:r>
    </w:p>
    <w:p>
      <w:pPr>
        <w:pBdr>
          <w:top w:space="5"/>
          <w:left w:space="5"/>
          <w:bottom w:space="5"/>
          <w:right w:space="5"/>
        </w:pBdr>
        <w:spacing w:after="0"/>
        <w:ind w:left="225"/>
        <w:jc w:val="left"/>
      </w:pPr>
      <w:r>
        <w:rPr>
          <w:rFonts w:ascii="Times New Roman" w:hAnsi="Times New Roman"/>
          <w:b w:val="false"/>
          <w:i w:val="false"/>
          <w:color w:val="000000"/>
          <w:sz w:val="22"/>
        </w:rPr>
        <w:t>(ii) Legal and Policy reviews of contracts and task orders using the trade-off evaluation method, regardless of dollar value, are highly encouraged.</w:t>
      </w:r>
    </w:p>
    <w:p>
      <w:pPr>
        <w:pBdr>
          <w:top w:space="5"/>
          <w:left w:space="5"/>
          <w:bottom w:space="5"/>
          <w:right w:space="5"/>
        </w:pBdr>
        <w:spacing w:after="0"/>
        <w:ind w:left="225"/>
        <w:jc w:val="left"/>
      </w:pPr>
      <w:r>
        <w:rPr>
          <w:rFonts w:ascii="Times New Roman" w:hAnsi="Times New Roman"/>
          <w:b w:val="false"/>
          <w:i w:val="false"/>
          <w:color w:val="000000"/>
          <w:sz w:val="22"/>
        </w:rPr>
        <w:t>Legal and Policy reviews can be requested by a contracting officer, CoCO, HCO, or HCA at lower dollar thresholds or for special interest procurements.</w:t>
      </w:r>
    </w:p>
    <w:p>
      <w:pPr>
        <w:pBdr>
          <w:top w:space="5"/>
          <w:left w:space="5"/>
          <w:bottom w:space="5"/>
          <w:right w:space="5"/>
        </w:pBdr>
        <w:spacing w:after="0"/>
        <w:ind w:left="225"/>
        <w:jc w:val="left"/>
      </w:pPr>
      <w:r>
        <w:rPr>
          <w:rFonts w:ascii="Times New Roman" w:hAnsi="Times New Roman"/>
          <w:b w:val="false"/>
          <w:i w:val="false"/>
          <w:color w:val="000000"/>
          <w:sz w:val="22"/>
        </w:rPr>
        <w:t>(2) At a minimum, the contracting officer must review the contract file/documentation prior to requesting a legal and policy compliance review. Also, the contract file must be reviewed at 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pPr>
        <w:pBdr>
          <w:top w:space="5"/>
          <w:left w:space="5"/>
          <w:bottom w:space="5"/>
          <w:right w:space="5"/>
        </w:pBdr>
        <w:spacing w:after="0"/>
        <w:ind w:left="225"/>
        <w:jc w:val="left"/>
      </w:pPr>
      <w:r>
        <w:rPr>
          <w:rFonts w:ascii="Times New Roman" w:hAnsi="Times New Roman"/>
          <w:b w:val="false"/>
          <w:i w:val="false"/>
          <w:color w:val="000000"/>
          <w:sz w:val="22"/>
        </w:rPr>
        <w:t>(3) Legal and Policy compliance reviews should be requested concurrently. Legal and Policy reviews will be accomplished in four (4) business days. Additional business days may be required to review substantial/numerous documents.</w:t>
      </w:r>
    </w:p>
    <w:p>
      <w:pPr>
        <w:pBdr>
          <w:top w:space="5"/>
          <w:left w:space="5"/>
          <w:bottom w:space="5"/>
          <w:right w:space="5"/>
        </w:pBdr>
        <w:spacing w:after="0"/>
        <w:ind w:left="225"/>
        <w:jc w:val="left"/>
      </w:pPr>
      <w:r>
        <w:rPr>
          <w:rFonts w:ascii="Times New Roman" w:hAnsi="Times New Roman"/>
          <w:b w:val="false"/>
          <w:i w:val="false"/>
          <w:color w:val="000000"/>
          <w:sz w:val="22"/>
        </w:rPr>
        <w:t>(i) When Legal or Policy reviews indicate non-compliance with laws, regulations or policies (e.g., a Policy Finding or a GC legally insufficient finding), the contracting officer will revise the procurement documents in collaboration with the assigned attorney-advisor and/or procurement analyst. Legal will copy the CoCO on e-mails which notify a contracting officer of legally insufficient findings, and Policy will copy the CoCO on e-mails which notify a contracting officer of compliance review Findings. A procurement document shall not be released until legally insufficient or compliance review Findings are adjudicated.</w:t>
      </w:r>
    </w:p>
    <w:p>
      <w:pPr>
        <w:pBdr>
          <w:top w:space="5"/>
          <w:left w:space="5"/>
          <w:bottom w:space="5"/>
          <w:right w:space="5"/>
        </w:pBdr>
        <w:spacing w:after="0"/>
        <w:ind w:left="225"/>
        <w:jc w:val="left"/>
      </w:pPr>
      <w:r>
        <w:rPr>
          <w:rFonts w:ascii="Times New Roman" w:hAnsi="Times New Roman"/>
          <w:b w:val="false"/>
          <w:i w:val="false"/>
          <w:color w:val="000000"/>
          <w:sz w:val="22"/>
        </w:rPr>
        <w:t>(ii) While changes are expected to be professionally resolved at the lowest possible level, disagreements may be elevated above the contracting officer, through Section and Branch Chiefs to the CoCO, the HCO, and ultimately to the HCA. Legal issues may be elevated to the Deputy General Counsel (Acquisition &amp; Procurement).</w:t>
      </w:r>
    </w:p>
    <w:p>
      <w:pPr>
        <w:pBdr>
          <w:top w:space="5"/>
          <w:left w:space="5"/>
          <w:bottom w:space="5"/>
          <w:right w:space="5"/>
        </w:pBdr>
        <w:spacing w:after="0"/>
        <w:ind w:left="225"/>
        <w:jc w:val="left"/>
      </w:pPr>
      <w:r>
        <w:rPr>
          <w:rFonts w:ascii="Times New Roman" w:hAnsi="Times New Roman"/>
          <w:b w:val="false"/>
          <w:i w:val="false"/>
          <w:color w:val="000000"/>
          <w:sz w:val="22"/>
        </w:rPr>
        <w:t>(4) Policy compliance (PL22) reviews --</w:t>
      </w:r>
    </w:p>
    <w:p>
      <w:pPr>
        <w:pBdr>
          <w:top w:space="5"/>
          <w:left w:space="5"/>
          <w:bottom w:space="5"/>
          <w:right w:space="5"/>
        </w:pBdr>
        <w:spacing w:after="0"/>
        <w:ind w:left="225"/>
        <w:jc w:val="left"/>
      </w:pPr>
      <w:r>
        <w:rPr>
          <w:rFonts w:ascii="Times New Roman" w:hAnsi="Times New Roman"/>
          <w:b w:val="false"/>
          <w:i w:val="false"/>
          <w:color w:val="000000"/>
          <w:sz w:val="22"/>
        </w:rPr>
        <w:t>(i) Requests for Policy compliance review shall be sent via email to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PLD Mailbox PL22 Policy Compliance Review</w:t>
        </w:r>
      </w:hyperlink>
      <w:r>
        <w:rPr>
          <w:rFonts w:ascii="Times New Roman" w:hAnsi="Times New Roman"/>
          <w:b w:val="false"/>
          <w:i w:val="false"/>
          <w:color w:val="000000"/>
          <w:sz w:val="22"/>
        </w:rPr>
        <w:t>” group mailbox. The following standard subject line format shall be used: “[insert Office Code (i.e., PLX)], [insert “Pre-Solicitation”, “Pre-Award” or “Post-Award,” as appropriate] Policy Compliance Review Request, [insert solicitation, contract/modification, or order/modification number].” Urgent requests for review must also include “Expedite” in the subject line and shall be forwarded to the PL22 group mailbox by the CoCO. Pertinent information needed to assist the PL22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1-5 for a list of required documents</w:t>
      </w:r>
      <w:r>
        <w:rPr>
          <w:rFonts w:ascii="Times New Roman" w:hAnsi="Times New Roman"/>
          <w:b/>
          <w:i w:val="false"/>
          <w:color w:val="000000"/>
          <w:sz w:val="22"/>
        </w:rPr>
        <w:t>.</w:t>
      </w:r>
      <w:r>
        <w:rPr>
          <w:rFonts w:ascii="Times New Roman" w:hAnsi="Times New Roman"/>
          <w:b w:val="false"/>
          <w:i w:val="false"/>
          <w:color w:val="000000"/>
          <w:sz w:val="22"/>
        </w:rPr>
        <w:t xml:space="preserve"> Documents may be submitted as attachments to the email if not available in EDMS.</w:t>
      </w:r>
    </w:p>
    <w:p>
      <w:pPr>
        <w:pBdr>
          <w:top w:space="5"/>
          <w:left w:space="5"/>
          <w:bottom w:space="5"/>
          <w:right w:space="5"/>
        </w:pBdr>
        <w:spacing w:after="0"/>
        <w:ind w:left="225"/>
        <w:jc w:val="left"/>
      </w:pPr>
      <w:r>
        <w:rPr>
          <w:rFonts w:ascii="Times New Roman" w:hAnsi="Times New Roman"/>
          <w:b w:val="false"/>
          <w:i w:val="false"/>
          <w:color w:val="000000"/>
          <w:sz w:val="22"/>
        </w:rPr>
        <w:t>*Note: The EDMS folder identifier must be included.</w:t>
      </w:r>
    </w:p>
    <w:p>
      <w:pPr>
        <w:pBdr>
          <w:top w:space="5"/>
          <w:left w:space="5"/>
          <w:bottom w:space="5"/>
          <w:right w:space="5"/>
        </w:pBdr>
        <w:spacing w:after="0"/>
        <w:ind w:left="225"/>
        <w:jc w:val="left"/>
      </w:pPr>
      <w:r>
        <w:rPr>
          <w:rFonts w:ascii="Times New Roman" w:hAnsi="Times New Roman"/>
          <w:b w:val="false"/>
          <w:i w:val="false"/>
          <w:color w:val="000000"/>
          <w:sz w:val="22"/>
        </w:rPr>
        <w:t>(ii) In circumstances where the contracting officer finds it necessary to proceed with issuing a solicitation or awarding a contract action prior to obtaining a PL22 Policy compliance review as required by the DARS, the contracting officer shall obtain a written waiver from the CoCO. The waiver shall be retained in the official contract file. Prior to requesting a waiver, the Contracting Officer shall consider a targeted review of critical documents or portion of the contract file.</w:t>
      </w:r>
    </w:p>
    <w:p>
      <w:pPr>
        <w:pBdr>
          <w:top w:space="5"/>
          <w:left w:space="5"/>
          <w:bottom w:space="5"/>
          <w:right w:space="5"/>
        </w:pBdr>
        <w:spacing w:after="0"/>
        <w:ind w:left="225"/>
        <w:jc w:val="left"/>
      </w:pPr>
      <w:r>
        <w:rPr>
          <w:rFonts w:ascii="Times New Roman" w:hAnsi="Times New Roman"/>
          <w:b w:val="false"/>
          <w:i w:val="false"/>
          <w:color w:val="000000"/>
          <w:sz w:val="22"/>
        </w:rPr>
        <w:t>(iii) Each Policy review comment will be listed under one of the following categories: Observation, Finding, Recommendation, or Commendation. Below are the definitions of each category:</w:t>
      </w:r>
    </w:p>
    <w:p>
      <w:pPr>
        <w:pBdr>
          <w:top w:space="5"/>
          <w:left w:space="5"/>
          <w:bottom w:space="5"/>
          <w:right w:space="5"/>
        </w:pBdr>
        <w:spacing w:after="0"/>
        <w:ind w:left="225"/>
        <w:jc w:val="left"/>
      </w:pPr>
      <w:r>
        <w:rPr>
          <w:rFonts w:ascii="Times New Roman" w:hAnsi="Times New Roman"/>
          <w:b w:val="false"/>
          <w:i w:val="false"/>
          <w:color w:val="000000"/>
          <w:sz w:val="22"/>
        </w:rPr>
        <w:t>(A) 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 etc.</w:t>
      </w:r>
    </w:p>
    <w:p>
      <w:pPr>
        <w:pBdr>
          <w:top w:space="5"/>
          <w:left w:space="5"/>
          <w:bottom w:space="5"/>
          <w:right w:space="5"/>
        </w:pBdr>
        <w:spacing w:after="0"/>
        <w:ind w:left="225"/>
        <w:jc w:val="left"/>
      </w:pPr>
      <w:r>
        <w:rPr>
          <w:rFonts w:ascii="Times New Roman" w:hAnsi="Times New Roman"/>
          <w:b w:val="false"/>
          <w:i w:val="false"/>
          <w:color w:val="000000"/>
          <w:sz w:val="22"/>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shall be filed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pPr>
        <w:pBdr>
          <w:top w:space="5"/>
          <w:left w:space="5"/>
          <w:bottom w:space="5"/>
          <w:right w:space="5"/>
        </w:pBdr>
        <w:spacing w:after="0"/>
        <w:ind w:left="225"/>
        <w:jc w:val="left"/>
      </w:pPr>
      <w:r>
        <w:rPr>
          <w:rFonts w:ascii="Times New Roman" w:hAnsi="Times New Roman"/>
          <w:b w:val="false"/>
          <w:i w:val="false"/>
          <w:color w:val="000000"/>
          <w:sz w:val="22"/>
        </w:rPr>
        <w:t>(D) Commendation: Validated procedures, actions or examples with supportable documentation which can generally been accepted as superior to other alternatives, or “standards” over-and-above what is merely required.</w:t>
      </w:r>
    </w:p>
    <w:p>
      <w:pPr>
        <w:pBdr>
          <w:top w:space="5"/>
          <w:left w:space="5"/>
          <w:bottom w:space="5"/>
          <w:right w:space="5"/>
        </w:pBdr>
        <w:spacing w:after="0"/>
        <w:ind w:left="225"/>
        <w:jc w:val="left"/>
      </w:pPr>
      <w:r>
        <w:rPr>
          <w:rFonts w:ascii="Times New Roman" w:hAnsi="Times New Roman"/>
          <w:b w:val="false"/>
          <w:i w:val="false"/>
          <w:color w:val="000000"/>
          <w:sz w:val="22"/>
        </w:rPr>
        <w:t>(5) PL6 Reviews see DARS PGI 1.9000(d)(5).</w:t>
      </w:r>
    </w:p>
    <w:p>
      <w:pPr>
        <w:pBdr>
          <w:top w:space="5"/>
          <w:left w:space="5"/>
          <w:bottom w:space="5"/>
          <w:right w:space="5"/>
        </w:pBdr>
        <w:spacing w:after="0"/>
        <w:ind w:left="225"/>
        <w:jc w:val="left"/>
      </w:pPr>
      <w:r>
        <w:rPr>
          <w:rFonts w:ascii="Times New Roman" w:hAnsi="Times New Roman"/>
          <w:b w:val="false"/>
          <w:i w:val="false"/>
          <w:color w:val="000000"/>
          <w:sz w:val="22"/>
        </w:rPr>
        <w:t>(6) Legal (GC) reviews ---</w:t>
      </w:r>
    </w:p>
    <w:p>
      <w:pPr>
        <w:pBdr>
          <w:top w:space="5"/>
          <w:left w:space="5"/>
          <w:bottom w:space="5"/>
          <w:right w:space="5"/>
        </w:pBdr>
        <w:spacing w:after="0"/>
        <w:ind w:left="225"/>
        <w:jc w:val="left"/>
      </w:pPr>
      <w:r>
        <w:rPr>
          <w:rFonts w:ascii="Times New Roman" w:hAnsi="Times New Roman"/>
          <w:b w:val="false"/>
          <w:i w:val="false"/>
          <w:color w:val="000000"/>
          <w:sz w:val="22"/>
        </w:rPr>
        <w:t>(i) Definitions.</w:t>
      </w:r>
    </w:p>
    <w:p>
      <w:pPr>
        <w:pBdr>
          <w:top w:space="5"/>
          <w:left w:space="5"/>
          <w:bottom w:space="5"/>
          <w:right w:space="5"/>
        </w:pBdr>
        <w:spacing w:after="0"/>
        <w:ind w:left="225"/>
        <w:jc w:val="left"/>
      </w:pPr>
      <w:r>
        <w:rPr>
          <w:rFonts w:ascii="Times New Roman" w:hAnsi="Times New Roman"/>
          <w:b w:val="false"/>
          <w:i/>
          <w:color w:val="000000"/>
          <w:sz w:val="22"/>
        </w:rPr>
        <w:t>Legally Sufficient.</w:t>
      </w:r>
      <w:r>
        <w:rPr>
          <w:rFonts w:ascii="Times New Roman" w:hAnsi="Times New Roman"/>
          <w:b w:val="false"/>
          <w:i w:val="false"/>
          <w:color w:val="000000"/>
          <w:sz w:val="22"/>
        </w:rPr>
        <w:t xml:space="preserve"> Complies with the applicable laws, regulations and policy.</w:t>
      </w:r>
    </w:p>
    <w:p>
      <w:pPr>
        <w:pBdr>
          <w:top w:space="5"/>
          <w:left w:space="5"/>
          <w:bottom w:space="5"/>
          <w:right w:space="5"/>
        </w:pBdr>
        <w:spacing w:after="0"/>
        <w:ind w:left="225"/>
        <w:jc w:val="left"/>
      </w:pPr>
      <w:r>
        <w:rPr>
          <w:rFonts w:ascii="Times New Roman" w:hAnsi="Times New Roman"/>
          <w:b w:val="false"/>
          <w:i/>
          <w:color w:val="000000"/>
          <w:sz w:val="22"/>
        </w:rPr>
        <w:t>Legally Insufficient.</w:t>
      </w:r>
      <w:r>
        <w:rPr>
          <w:rFonts w:ascii="Times New Roman" w:hAnsi="Times New Roman"/>
          <w:b w:val="false"/>
          <w:i w:val="false"/>
          <w:color w:val="000000"/>
          <w:sz w:val="22"/>
        </w:rPr>
        <w:t xml:space="preserve"> Does not comply with the applicable laws, regulations and policy. Generally, these will be accompanied by specific findings and potential alternatives to correct legal deficiencies.</w:t>
      </w:r>
    </w:p>
    <w:p>
      <w:pPr>
        <w:pBdr>
          <w:top w:space="5"/>
          <w:left w:space="5"/>
          <w:bottom w:space="5"/>
          <w:right w:space="5"/>
        </w:pBdr>
        <w:spacing w:after="0"/>
        <w:ind w:left="225"/>
        <w:jc w:val="left"/>
      </w:pPr>
      <w:r>
        <w:rPr>
          <w:rFonts w:ascii="Times New Roman" w:hAnsi="Times New Roman"/>
          <w:b w:val="false"/>
          <w:i w:val="false"/>
          <w:color w:val="000000"/>
          <w:sz w:val="22"/>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pPr>
        <w:pBdr>
          <w:top w:space="5"/>
          <w:left w:space="5"/>
          <w:bottom w:space="5"/>
          <w:right w:space="5"/>
        </w:pBdr>
        <w:spacing w:after="0"/>
        <w:ind w:left="225"/>
        <w:jc w:val="left"/>
      </w:pPr>
      <w:r>
        <w:rPr>
          <w:rFonts w:ascii="Times New Roman" w:hAnsi="Times New Roman"/>
          <w:b w:val="false"/>
          <w:i w:val="false"/>
          <w:color w:val="000000"/>
          <w:sz w:val="22"/>
        </w:rPr>
        <w:t>(ii) Legal review comments or a statement that the procurement document has been reviewed and found to be legally sufficient shall be placed in the contract file. The contracting officer is responsible for assuring that all legal comments are adjudicated.</w:t>
      </w:r>
    </w:p>
    <w:p>
      <w:pPr>
        <w:pBdr>
          <w:top w:space="5"/>
          <w:left w:space="5"/>
          <w:bottom w:space="5"/>
          <w:right w:space="5"/>
        </w:pBdr>
        <w:spacing w:after="0"/>
        <w:ind w:left="225"/>
        <w:jc w:val="left"/>
      </w:pPr>
      <w:r>
        <w:rPr>
          <w:rFonts w:ascii="Times New Roman" w:hAnsi="Times New Roman"/>
          <w:b w:val="false"/>
          <w:i w:val="false"/>
          <w:color w:val="000000"/>
          <w:sz w:val="22"/>
        </w:rPr>
        <w:t>(iii) In circumstances where the contracting officer finds it necessary to proceed with issuing a solicitation or awarding a contract action prior to obtaining a required legal review, the contracting officer shall obtain a written waiver from the CoCO. The waiver shall be retained in the contract file. The CoCO shall request an emergency/or quick turn-around legal review prior to approving a waiver. Legal will not review solicitations and contract award actions that have been waived (i.e., after-the-fact reviews).</w:t>
      </w:r>
    </w:p>
    <w:p>
      <w:pPr>
        <w:pBdr>
          <w:top w:space="5"/>
          <w:left w:space="5"/>
          <w:bottom w:space="5"/>
          <w:right w:space="5"/>
        </w:pBdr>
        <w:spacing w:after="0"/>
        <w:ind w:left="225"/>
        <w:jc w:val="left"/>
      </w:pPr>
      <w:r>
        <w:rPr>
          <w:rFonts w:ascii="Times New Roman" w:hAnsi="Times New Roman"/>
          <w:b w:val="false"/>
          <w:i w:val="false"/>
          <w:color w:val="000000"/>
          <w:sz w:val="22"/>
        </w:rPr>
        <w:t>(iv) DITCO-Pacific (PL7), DITCO-Scott Telecommunications Contracting Division (PL82), DITCO-Scott IT Contracting Division (PL83), and DITCO-Scott Emerging Technology, Special Interest Contracts, and Pricing Division (PL84) shall obtain legal reviews from legal counsel located at DITCO-Scott. DITCO-National Capital Region (PL6), DITCO-Europe (PL5), Defense Capabilities Contracting Office (PLA), and WHCA shall obtain legal reviews from legal counsel located at DITCO-NCR.</w:t>
      </w:r>
    </w:p>
    <w:p>
      <w:pPr>
        <w:pBdr>
          <w:top w:space="5"/>
          <w:left w:space="5"/>
          <w:bottom w:space="5"/>
          <w:right w:space="5"/>
        </w:pBdr>
        <w:spacing w:after="0"/>
        <w:ind w:left="225"/>
        <w:jc w:val="left"/>
      </w:pPr>
      <w:r>
        <w:rPr>
          <w:rFonts w:ascii="Times New Roman" w:hAnsi="Times New Roman"/>
          <w:b w:val="false"/>
          <w:i w:val="false"/>
          <w:color w:val="000000"/>
          <w:sz w:val="22"/>
        </w:rPr>
        <w:t>(v) Requests for legal review from legal counsel located at DITCO-Scott shall be sent via email to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Scott AFB DITCO Mailbox Legal Office</w:t>
        </w:r>
      </w:hyperlink>
      <w:r>
        <w:rPr>
          <w:rFonts w:ascii="Times New Roman" w:hAnsi="Times New Roman"/>
          <w:b w:val="false"/>
          <w:i w:val="false"/>
          <w:color w:val="000000"/>
          <w:sz w:val="22"/>
        </w:rPr>
        <w:t>” group mailbox. Requests for legal reviews from legal counsel located at DITCO-NCR shall be sent via email to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GC Mailbox Acquisition Law Team”</w:t>
        </w:r>
      </w:hyperlink>
      <w:r>
        <w:rPr>
          <w:rFonts w:ascii="Times New Roman" w:hAnsi="Times New Roman"/>
          <w:b w:val="false"/>
          <w:i w:val="false"/>
          <w:color w:val="000000"/>
          <w:sz w:val="22"/>
        </w:rPr>
        <w:t xml:space="preserve"> group mailbox. The following standard subject 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 review.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5</w:t>
      </w:r>
      <w:r>
        <w:rPr>
          <w:rFonts w:ascii="Times New Roman" w:hAnsi="Times New Roman"/>
          <w:b/>
          <w:i w:val="false"/>
          <w:color w:val="000000"/>
          <w:sz w:val="22"/>
        </w:rPr>
        <w:t>Minimum Documentation to Attach to Review Requests</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color w:val="000000"/>
          <w:sz w:val="22"/>
        </w:rPr>
        <w:t>The minimum documentation required for reviews)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14"/>
        <w:gridCol w:w="2714"/>
        <w:gridCol w:w="2714"/>
        <w:gridCol w:w="2718"/>
        <w:gridCol w:w="2714"/>
      </w:tblGrid>
      <w:tr>
        <w:trPr>
          <w:trHeight w:val="1095" w:hRule="atLeast"/>
        </w:trPr>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Review</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Decision Point</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Non-Competitive</w:t>
            </w:r>
          </w:p>
        </w:tc>
        <w:tc>
          <w:tcPr>
            <w:tcW w:w="27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Parts 12 and 15</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Subparts 8.4 and</w:t>
            </w:r>
            <w:r>
              <w:rPr>
                <w:rFonts w:ascii="Times New Roman" w:hAnsi="Times New Roman"/>
                <w:b/>
                <w:i w:val="false"/>
                <w:color w:val="000000"/>
                <w:sz w:val="22"/>
              </w:rPr>
              <w:t>16.5</w:t>
            </w:r>
          </w:p>
        </w:tc>
      </w:tr>
      <w:tr>
        <w:trPr>
          <w:trHeight w:val="270" w:hRule="atLeast"/>
        </w:trPr>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Release of Solicitation</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then Solicitation</w:t>
            </w:r>
          </w:p>
        </w:tc>
        <w:tc>
          <w:tcPr>
            <w:tcW w:w="27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r>
      <w:tr>
        <w:trPr>
          <w:trHeight w:val="1275" w:hRule="atLeast"/>
        </w:trPr>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Pre-PNMs and Sole</w:t>
            </w:r>
          </w:p>
          <w:p>
            <w:pPr>
              <w:pBdr>
                <w:top w:space="5"/>
                <w:left w:space="5"/>
                <w:bottom w:space="5"/>
                <w:right w:space="5"/>
              </w:pBdr>
              <w:spacing w:after="0"/>
              <w:ind w:left="240"/>
              <w:jc w:val="left"/>
            </w:pPr>
            <w:r>
              <w:rPr>
                <w:rFonts w:ascii="Times New Roman" w:hAnsi="Times New Roman"/>
                <w:b w:val="false"/>
                <w:i w:val="false"/>
                <w:color w:val="000000"/>
                <w:sz w:val="22"/>
              </w:rPr>
              <w:t>Source PNMs</w:t>
            </w:r>
          </w:p>
        </w:tc>
        <w:tc>
          <w:tcPr>
            <w:tcW w:w="27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r>
      <w:tr>
        <w:trPr>
          <w:trHeight w:val="5130" w:hRule="atLeast"/>
        </w:trPr>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Approval</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Award</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Order and</w:t>
            </w:r>
          </w:p>
          <w:p>
            <w:pPr>
              <w:pBdr>
                <w:top w:space="5"/>
                <w:left w:space="5"/>
                <w:bottom w:space="5"/>
                <w:right w:space="5"/>
              </w:pBdr>
              <w:spacing w:after="0"/>
              <w:ind w:left="240"/>
              <w:jc w:val="left"/>
            </w:pPr>
            <w:r>
              <w:rPr>
                <w:rFonts w:ascii="Times New Roman" w:hAnsi="Times New Roman"/>
                <w:b w:val="false"/>
                <w:i w:val="false"/>
                <w:color w:val="000000"/>
                <w:sz w:val="22"/>
              </w:rPr>
              <w:t>Post-PNM</w:t>
            </w:r>
          </w:p>
          <w:p>
            <w:pPr>
              <w:pBdr>
                <w:top w:space="5"/>
                <w:left w:space="5"/>
                <w:bottom w:space="5"/>
                <w:right w:space="5"/>
              </w:pBdr>
              <w:spacing w:after="0"/>
              <w:ind w:left="240"/>
              <w:jc w:val="left"/>
            </w:pPr>
            <w:r>
              <w:rPr>
                <w:rFonts w:ascii="Times New Roman" w:hAnsi="Times New Roman"/>
                <w:b w:val="false"/>
                <w:i w:val="false"/>
                <w:color w:val="000000"/>
                <w:sz w:val="22"/>
              </w:rPr>
              <w:t>RFP and Evaluation</w:t>
            </w:r>
          </w:p>
          <w:p>
            <w:pPr>
              <w:pBdr>
                <w:top w:space="5"/>
                <w:left w:space="5"/>
                <w:bottom w:space="5"/>
                <w:right w:space="5"/>
              </w:pBdr>
              <w:spacing w:after="0"/>
              <w:ind w:left="240"/>
              <w:jc w:val="left"/>
            </w:pPr>
            <w:r>
              <w:rPr>
                <w:rFonts w:ascii="Times New Roman" w:hAnsi="Times New Roman"/>
                <w:b w:val="false"/>
                <w:i w:val="false"/>
                <w:color w:val="000000"/>
                <w:sz w:val="22"/>
              </w:rPr>
              <w:t>Documents (Legal</w:t>
            </w:r>
          </w:p>
          <w:p>
            <w:pPr>
              <w:pBdr>
                <w:top w:space="5"/>
                <w:left w:space="5"/>
                <w:bottom w:space="5"/>
                <w:right w:space="5"/>
              </w:pBdr>
              <w:spacing w:after="0"/>
              <w:ind w:left="240"/>
              <w:jc w:val="left"/>
            </w:pPr>
            <w:r>
              <w:rPr>
                <w:rFonts w:ascii="Times New Roman" w:hAnsi="Times New Roman"/>
                <w:b w:val="false"/>
                <w:i w:val="false"/>
                <w:color w:val="000000"/>
                <w:sz w:val="22"/>
              </w:rPr>
              <w:t>Only)</w:t>
            </w:r>
          </w:p>
        </w:tc>
        <w:tc>
          <w:tcPr>
            <w:tcW w:w="27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Contract, Source Selection Decision Document, Best Value Trade- off or LPTA Evaluation Summary (e.g., Selection Recommendation Document), RFP, and Draft Notification to Unsuccessful Offerors</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Order, Post-PNM, Best Value Trade-off or LPTA Evaluation Summary (e.g.,</w:t>
            </w:r>
          </w:p>
          <w:p>
            <w:pPr>
              <w:pBdr>
                <w:top w:space="5"/>
                <w:left w:space="5"/>
                <w:bottom w:space="5"/>
                <w:right w:space="5"/>
              </w:pBdr>
              <w:spacing w:after="0"/>
              <w:ind w:left="240"/>
              <w:jc w:val="left"/>
            </w:pPr>
            <w:r>
              <w:rPr>
                <w:rFonts w:ascii="Times New Roman" w:hAnsi="Times New Roman"/>
                <w:b w:val="false"/>
                <w:i w:val="false"/>
                <w:color w:val="000000"/>
                <w:sz w:val="22"/>
              </w:rPr>
              <w:t>Selection Recommendation</w:t>
            </w:r>
          </w:p>
          <w:p>
            <w:pPr>
              <w:pBdr>
                <w:top w:space="5"/>
                <w:left w:space="5"/>
                <w:bottom w:space="5"/>
                <w:right w:space="5"/>
              </w:pBdr>
              <w:spacing w:after="0"/>
              <w:ind w:left="240"/>
              <w:jc w:val="left"/>
            </w:pPr>
            <w:r>
              <w:rPr>
                <w:rFonts w:ascii="Times New Roman" w:hAnsi="Times New Roman"/>
                <w:b w:val="false"/>
                <w:i w:val="false"/>
                <w:color w:val="000000"/>
                <w:sz w:val="22"/>
              </w:rPr>
              <w:t>Document), RFQ, and Draft</w:t>
            </w:r>
          </w:p>
          <w:p>
            <w:pPr>
              <w:pBdr>
                <w:top w:space="5"/>
                <w:left w:space="5"/>
                <w:bottom w:space="5"/>
                <w:right w:space="5"/>
              </w:pBdr>
              <w:spacing w:after="0"/>
              <w:ind w:left="240"/>
              <w:jc w:val="left"/>
            </w:pPr>
            <w:r>
              <w:rPr>
                <w:rFonts w:ascii="Times New Roman" w:hAnsi="Times New Roman"/>
                <w:b w:val="false"/>
                <w:i w:val="false"/>
                <w:color w:val="000000"/>
                <w:sz w:val="22"/>
              </w:rPr>
              <w:t>Notification to Unsuccessful</w:t>
            </w:r>
          </w:p>
          <w:p>
            <w:pPr>
              <w:pBdr>
                <w:top w:space="5"/>
                <w:left w:space="5"/>
                <w:bottom w:space="5"/>
                <w:right w:space="5"/>
              </w:pBdr>
              <w:spacing w:after="0"/>
              <w:ind w:left="240"/>
              <w:jc w:val="left"/>
            </w:pPr>
            <w:r>
              <w:rPr>
                <w:rFonts w:ascii="Times New Roman" w:hAnsi="Times New Roman"/>
                <w:b w:val="false"/>
                <w:i w:val="false"/>
                <w:color w:val="000000"/>
                <w:sz w:val="22"/>
              </w:rPr>
              <w:t>Offerors</w:t>
            </w:r>
          </w:p>
        </w:tc>
      </w:tr>
    </w:tbl>
    <w:p>
      <w:pPr>
        <w:pBdr>
          <w:top w:space="5"/>
          <w:left w:space="5"/>
          <w:bottom w:space="5"/>
          <w:right w:space="5"/>
        </w:pBdr>
        <w:spacing w:after="0"/>
        <w:ind w:left="225"/>
        <w:jc w:val="left"/>
      </w:pPr>
      <w:r>
        <w:rPr>
          <w:rFonts w:ascii="Times New Roman" w:hAnsi="Times New Roman"/>
          <w:b w:val="false"/>
          <w:i w:val="false"/>
          <w:color w:val="000000"/>
          <w:sz w:val="22"/>
        </w:rPr>
        <w:t>(7) Classified procurement oversight.Classified procurements are not exempt from compliance reviews. The Chief, Contract Operations Branch (PL22) shall be contacted to coordinate compliance reviews. The contracting officer shall ensure contract documents are redacted</w:t>
      </w:r>
      <w:r>
        <w:rPr>
          <w:rFonts w:ascii="Times New Roman" w:hAnsi="Times New Roman"/>
          <w:b/>
          <w:i w:val="false"/>
          <w:color w:val="000000"/>
          <w:sz w:val="22"/>
        </w:rPr>
        <w:t>,</w:t>
      </w:r>
      <w:r>
        <w:rPr>
          <w:rFonts w:ascii="Times New Roman" w:hAnsi="Times New Roman"/>
          <w:b w:val="false"/>
          <w:i w:val="false"/>
          <w:color w:val="000000"/>
          <w:sz w:val="22"/>
        </w:rPr>
        <w:t xml:space="preserve"> as necessary.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itco.disa.mil/hq/deskbooks.asp" Type="http://schemas.openxmlformats.org/officeDocument/2006/relationships/hyperlink" Id="rId4"/>
    <Relationship TargetMode="External" Target="https://disa.deps.mil/org/PL2/Pages/DITCORefs.aspx" Type="http://schemas.openxmlformats.org/officeDocument/2006/relationships/hyperlink" Id="rId5"/>
    <Relationship TargetMode="External" Target="mailto:disa.meade.PLD.mbx.pl22-policy-compliance-review@mail.mil" Type="http://schemas.openxmlformats.org/officeDocument/2006/relationships/hyperlink" Id="rId6"/>
    <Relationship TargetMode="External" Target="mailto:disa.scott.ditco.mbx.legal-office@mail.mil" Type="http://schemas.openxmlformats.org/officeDocument/2006/relationships/hyperlink" Id="rId7"/>
    <Relationship TargetMode="External" Target="mailto:disa.meade.gc.mbx.acquisition-law-team@mail.mil"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