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**ID__DARS_42.1503__ID**</w:t>
      </w:r>
    </w:p>
    <w:p>
      <w:pPr>
        <w:pStyle w:val="Heading3"/>
        <w:spacing w:after="199"/>
        <w:ind w:left="120"/>
        <w:jc w:val="left"/>
      </w:pPr>
      <w:r>
        <w:rPr>
          <w:rFonts w:ascii="Times New Roman" w:hAnsi="Times New Roman"/>
          <w:color w:val="000000"/>
          <w:sz w:val="31"/>
        </w:rPr>
        <w:t>42.1503</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(a)(1)(i) Past performance assessments are a combined responsibility of the Assessing Official (AO) Assessing Official Representative (AOR), Reviewing Official (RO), and Contractor Representative (CR).</w:t>
      </w:r>
    </w:p>
    <w:p>
      <w:pPr>
        <w:pBdr>
          <w:top w:space="5"/>
          <w:left w:space="5"/>
          <w:bottom w:space="5"/>
          <w:right w:space="5"/>
        </w:pBdr>
        <w:spacing w:after="0"/>
        <w:ind w:left="225"/>
        <w:jc w:val="left"/>
      </w:pPr>
      <w:r>
        <w:rPr>
          <w:rFonts w:ascii="Times New Roman" w:hAnsi="Times New Roman"/>
          <w:b w:val="false"/>
          <w:i w:val="false"/>
          <w:color w:val="000000"/>
          <w:sz w:val="22"/>
        </w:rP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 AOR designation shall be included in the COR appointment letter.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