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**ID__DARS_1.9001__ID**</w:t>
      </w:r>
    </w:p>
    <w:p>
      <w:pPr>
        <w:pStyle w:val="Heading3"/>
        <w:spacing w:after="199"/>
        <w:ind w:left="120"/>
        <w:jc w:val="left"/>
      </w:pPr>
      <w:r>
        <w:rPr>
          <w:rFonts w:ascii="Times New Roman" w:hAnsi="Times New Roman"/>
          <w:color w:val="000000"/>
          <w:sz w:val="31"/>
        </w:rPr>
        <w:t>1.9001</w:t>
      </w:r>
      <w:r>
        <w:rPr>
          <w:rFonts w:ascii="Times New Roman" w:hAnsi="Times New Roman"/>
          <w:color w:val="000000"/>
          <w:sz w:val="31"/>
        </w:rPr>
        <w:t xml:space="preserve"> Procurement management reviews (PMR) and special interest reviews.</w:t>
      </w:r>
    </w:p>
    <w:p>
      <w:pPr>
        <w:pBdr>
          <w:top w:space="5"/>
          <w:left w:space="5"/>
          <w:bottom w:space="5"/>
          <w:right w:space="5"/>
        </w:pBdr>
        <w:spacing w:after="0"/>
        <w:ind w:left="225"/>
        <w:jc w:val="left"/>
      </w:pPr>
      <w:r>
        <w:rPr>
          <w:rFonts w:ascii="Times New Roman" w:hAnsi="Times New Roman"/>
          <w:b w:val="false"/>
          <w:i w:val="false"/>
          <w:color w:val="000000"/>
          <w:sz w:val="22"/>
        </w:rPr>
        <w:t>(a) Chief, Contract Operations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CoCO and the HCO to improve the operational efficiency and effectiveness of their contracting organizations. This is accomplished through the assessment of internal management controls and acquisition policies and procedures. Additionally, the results of the PMRs are used to assess the Agency’s ability to sustain external scrutiny such as DoD Inspector General (DoDIG) Audits, General Accountability Office (GAO) Audits, external PMRs, and other independent reviews.</w:t>
      </w:r>
    </w:p>
    <w:p>
      <w:pPr>
        <w:pBdr>
          <w:top w:space="5"/>
          <w:left w:space="5"/>
          <w:bottom w:space="5"/>
          <w:right w:space="5"/>
        </w:pBdr>
        <w:spacing w:after="0"/>
        <w:ind w:left="225"/>
        <w:jc w:val="left"/>
      </w:pPr>
      <w:r>
        <w:rPr>
          <w:rFonts w:ascii="Times New Roman" w:hAnsi="Times New Roman"/>
          <w:b w:val="false"/>
          <w:i w:val="false"/>
          <w:color w:val="000000"/>
          <w:sz w:val="22"/>
        </w:rPr>
        <w:t>(b)(i) PMRs are conducted at the four Defense Information Technology Contracting Organizations (DITCO):</w:t>
      </w:r>
    </w:p>
    <w:p>
      <w:pPr>
        <w:pBdr>
          <w:top w:space="5"/>
          <w:left w:space="5"/>
          <w:bottom w:space="5"/>
          <w:right w:space="5"/>
        </w:pBdr>
        <w:spacing w:after="0"/>
        <w:ind w:left="225"/>
        <w:jc w:val="left"/>
      </w:pPr>
      <w:r>
        <w:rPr>
          <w:rFonts w:ascii="Times New Roman" w:hAnsi="Times New Roman"/>
          <w:b w:val="false"/>
          <w:i w:val="false"/>
          <w:color w:val="000000"/>
          <w:sz w:val="22"/>
        </w:rPr>
        <w:t>(1) DITCO-National Capital Region (NCR)</w:t>
      </w:r>
    </w:p>
    <w:p>
      <w:pPr>
        <w:pBdr>
          <w:top w:space="5"/>
          <w:left w:space="5"/>
          <w:bottom w:space="5"/>
          <w:right w:space="5"/>
        </w:pBdr>
        <w:spacing w:after="0"/>
        <w:ind w:left="225"/>
        <w:jc w:val="left"/>
      </w:pPr>
      <w:r>
        <w:rPr>
          <w:rFonts w:ascii="Times New Roman" w:hAnsi="Times New Roman"/>
          <w:b w:val="false"/>
          <w:i w:val="false"/>
          <w:color w:val="000000"/>
          <w:sz w:val="22"/>
        </w:rPr>
        <w:t>(2) DITCO-Europe</w:t>
      </w:r>
    </w:p>
    <w:p>
      <w:pPr>
        <w:pBdr>
          <w:top w:space="5"/>
          <w:left w:space="5"/>
          <w:bottom w:space="5"/>
          <w:right w:space="5"/>
        </w:pBdr>
        <w:spacing w:after="0"/>
        <w:ind w:left="225"/>
        <w:jc w:val="left"/>
      </w:pPr>
      <w:r>
        <w:rPr>
          <w:rFonts w:ascii="Times New Roman" w:hAnsi="Times New Roman"/>
          <w:b w:val="false"/>
          <w:i w:val="false"/>
          <w:color w:val="000000"/>
          <w:sz w:val="22"/>
        </w:rPr>
        <w:t>(3) DITCO-Pacific</w:t>
      </w:r>
    </w:p>
    <w:p>
      <w:pPr>
        <w:pBdr>
          <w:top w:space="5"/>
          <w:left w:space="5"/>
          <w:bottom w:space="5"/>
          <w:right w:space="5"/>
        </w:pBdr>
        <w:spacing w:after="0"/>
        <w:ind w:left="225"/>
        <w:jc w:val="left"/>
      </w:pPr>
      <w:r>
        <w:rPr>
          <w:rFonts w:ascii="Times New Roman" w:hAnsi="Times New Roman"/>
          <w:b w:val="false"/>
          <w:i w:val="false"/>
          <w:color w:val="000000"/>
          <w:sz w:val="22"/>
        </w:rPr>
        <w:t>(4) DITCO-Scott</w:t>
      </w:r>
    </w:p>
    <w:p>
      <w:pPr>
        <w:pBdr>
          <w:top w:space="5"/>
          <w:left w:space="5"/>
          <w:bottom w:space="5"/>
          <w:right w:space="5"/>
        </w:pBdr>
        <w:spacing w:after="0"/>
        <w:ind w:left="225"/>
        <w:jc w:val="left"/>
      </w:pPr>
      <w:r>
        <w:rPr>
          <w:rFonts w:ascii="Times New Roman" w:hAnsi="Times New Roman"/>
          <w:b w:val="false"/>
          <w:i w:val="false"/>
          <w:color w:val="000000"/>
          <w:sz w:val="22"/>
        </w:rPr>
        <w:t>(ii) Contract Management Reviews (CMR) are conducted at two external organizations:</w:t>
      </w:r>
    </w:p>
    <w:p>
      <w:pPr>
        <w:pBdr>
          <w:top w:space="5"/>
          <w:left w:space="5"/>
          <w:bottom w:space="5"/>
          <w:right w:space="5"/>
        </w:pBdr>
        <w:spacing w:after="0"/>
        <w:ind w:left="225"/>
        <w:jc w:val="left"/>
      </w:pPr>
      <w:r>
        <w:rPr>
          <w:rFonts w:ascii="Times New Roman" w:hAnsi="Times New Roman"/>
          <w:b w:val="false"/>
          <w:i w:val="false"/>
          <w:color w:val="000000"/>
          <w:sz w:val="22"/>
        </w:rPr>
        <w:t>(1) WHCA (White House Communications Agency)</w:t>
      </w:r>
    </w:p>
    <w:p>
      <w:pPr>
        <w:pBdr>
          <w:top w:space="5"/>
          <w:left w:space="5"/>
          <w:bottom w:space="5"/>
          <w:right w:space="5"/>
        </w:pBdr>
        <w:spacing w:after="0"/>
        <w:ind w:left="225"/>
        <w:jc w:val="left"/>
      </w:pPr>
      <w:r>
        <w:rPr>
          <w:rFonts w:ascii="Times New Roman" w:hAnsi="Times New Roman"/>
          <w:b w:val="false"/>
          <w:i w:val="false"/>
          <w:color w:val="000000"/>
          <w:sz w:val="22"/>
        </w:rPr>
        <w:t>(2) CMCA (Communications Management and Control Activity)</w:t>
      </w:r>
    </w:p>
    <w:p>
      <w:pPr>
        <w:pBdr>
          <w:top w:space="5"/>
          <w:left w:space="5"/>
          <w:bottom w:space="5"/>
          <w:right w:space="5"/>
        </w:pBdr>
        <w:spacing w:after="0"/>
        <w:ind w:left="225"/>
        <w:jc w:val="left"/>
      </w:pPr>
      <w:r>
        <w:rPr>
          <w:rFonts w:ascii="Times New Roman" w:hAnsi="Times New Roman"/>
          <w:b w:val="false"/>
          <w:i w:val="false"/>
          <w:color w:val="000000"/>
          <w:sz w:val="22"/>
        </w:rPr>
        <w:t>(c) PMRs and CMRs will be conducted IAW the PSD PMR Standard Operating Procedure. The HCA is the final decision authority for PMR/CMR observations, findings and recommendations.</w:t>
      </w:r>
    </w:p>
    <w:p>
      <w:pPr>
        <w:pBdr>
          <w:top w:space="5"/>
          <w:left w:space="5"/>
          <w:bottom w:space="5"/>
          <w:right w:space="5"/>
        </w:pBdr>
        <w:spacing w:after="0"/>
        <w:ind w:left="225"/>
        <w:jc w:val="left"/>
      </w:pPr>
      <w:r>
        <w:rPr>
          <w:rFonts w:ascii="Times New Roman" w:hAnsi="Times New Roman"/>
          <w:b w:val="false"/>
          <w:i w:val="false"/>
          <w:color w:val="000000"/>
          <w:sz w:val="22"/>
        </w:rPr>
        <w:t>(d) Special Interest Reviews are conducted at the request of the HCA or the SPE. These reviews assess specific aspects of the procurement process and/or operations, as requested.</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