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**ID__DARS_43.9000__ID**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43.9000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When issuing a modification to an existing contract, order, or task order that requires a change to the scope of work to be performed, the contracting officer shall complete the Memorandum for the Record (MFR) Scope Determination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43.9000(S-90). Further guidance on determining when a modification is within scope of an existing contract is contained within the Scope Determination Guide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43.9000(S-90).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Scope determinations are not required for: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Administrative changes issued as modifications that do not impact the substantive rights of the parties (e.g., a change in the paying office or the appropriation data (FAR 43.101)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Unilateral modifications that are authorized by clauses other than the Changes clause (e.g., Property clause, Options clause, or Suspension of Work clause (FAR 43.103(b)(3)).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(S-92) General Counsel shall be consulted in cases where the contracting officer cannot make a clear determination whether the proposed modification is within scope of the existing contract or task order.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(S-93) In-scope changes to an existing contract shall be issued in accordance with FAR 43.2. When a proposed change requires a modification outside of the general scope of a contract the contracting officer must either: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Competitively solicit the requirement; or,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Issue the modification in accordance with the non-competitive procedures at FAR 6.303, 8.405-6, or 16.505(b)(2).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    <Relationship TargetMode="External" Target="https://disa.deps.mil/org/PL2/Pages/DITCORef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