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**ID__DARS_48.101__ID**</w:t>
      </w:r>
    </w:p>
    <w:p>
      <w:pPr>
        <w:pStyle w:val="Heading3"/>
        <w:spacing w:after="199"/>
        <w:ind w:left="120"/>
        <w:jc w:val="left"/>
      </w:pPr>
      <w:r>
        <w:rPr>
          <w:rFonts w:ascii="Times New Roman" w:hAnsi="Times New Roman"/>
          <w:color w:val="000000"/>
          <w:sz w:val="31"/>
        </w:rPr>
        <w:t>48.101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(S-90) When a contracting officer receives a Value Engineering Change Proposal (VECP) from the contractor, the contracting officer / acquisition team shall:</w:t>
      </w:r>
    </w:p>
    <w:p>
      <w:pPr>
        <w:pBdr>
          <w:top w:space="5"/>
          <w:left w:space="5"/>
          <w:bottom w:space="5"/>
          <w:right w:space="5"/>
        </w:pBdr>
        <w:spacing w:after="0"/>
        <w:ind w:left="225"/>
        <w:jc w:val="left"/>
      </w:pPr>
      <w:r>
        <w:rPr>
          <w:rFonts w:ascii="Times New Roman" w:hAnsi="Times New Roman"/>
          <w:b w:val="false"/>
          <w:i w:val="false"/>
          <w:color w:val="000000"/>
          <w:sz w:val="22"/>
        </w:rPr>
        <w:t>(1) Acknowledge receipt within 5 business days.</w:t>
      </w:r>
    </w:p>
    <w:p>
      <w:pPr>
        <w:pBdr>
          <w:top w:space="5"/>
          <w:left w:space="5"/>
          <w:bottom w:space="5"/>
          <w:right w:space="5"/>
        </w:pBdr>
        <w:spacing w:after="0"/>
        <w:ind w:left="225"/>
        <w:jc w:val="left"/>
      </w:pPr>
      <w:r>
        <w:rPr>
          <w:rFonts w:ascii="Times New Roman" w:hAnsi="Times New Roman"/>
          <w:b w:val="false"/>
          <w:i w:val="false"/>
          <w:color w:val="000000"/>
          <w:sz w:val="22"/>
        </w:rP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pPr>
        <w:pBdr>
          <w:top w:space="5"/>
          <w:left w:space="5"/>
          <w:bottom w:space="5"/>
          <w:right w:space="5"/>
        </w:pBdr>
        <w:spacing w:after="0"/>
        <w:ind w:left="225"/>
        <w:jc w:val="left"/>
      </w:pPr>
      <w:r>
        <w:rPr>
          <w:rFonts w:ascii="Times New Roman" w:hAnsi="Times New Roman"/>
          <w:b w:val="false"/>
          <w:i w:val="false"/>
          <w:color w:val="000000"/>
          <w:sz w:val="22"/>
        </w:rPr>
        <w:t>(3) If additional information is needed, the PMO will notify the contractor, and copy the Contracting Officer and VE Senior Management Official. If negotiation of the VE is required, the KO shall lead the negotiations.</w:t>
      </w:r>
    </w:p>
    <w:p>
      <w:pPr>
        <w:pBdr>
          <w:top w:space="5"/>
          <w:left w:space="5"/>
          <w:bottom w:space="5"/>
          <w:right w:space="5"/>
        </w:pBdr>
        <w:spacing w:after="0"/>
        <w:ind w:left="225"/>
        <w:jc w:val="left"/>
      </w:pPr>
      <w:r>
        <w:rPr>
          <w:rFonts w:ascii="Times New Roman" w:hAnsi="Times New Roman"/>
          <w:b w:val="false"/>
          <w:i w:val="false"/>
          <w:color w:val="000000"/>
          <w:sz w:val="22"/>
        </w:rPr>
        <w:t>(4) If accepted, the KO shall execute a bilateral modification to the contract citing the VE clause in the contract as the authority for the modification.</w:t>
      </w:r>
    </w:p>
    <w:p>
      <w:pPr>
        <w:pBdr>
          <w:top w:space="5"/>
          <w:left w:space="5"/>
          <w:bottom w:space="5"/>
          <w:right w:space="5"/>
        </w:pBdr>
        <w:spacing w:after="0"/>
        <w:ind w:left="225"/>
        <w:jc w:val="left"/>
      </w:pPr>
      <w:r>
        <w:rPr>
          <w:rFonts w:ascii="Times New Roman" w:hAnsi="Times New Roman"/>
          <w:b w:val="false"/>
          <w:i w:val="false"/>
          <w:color w:val="000000"/>
          <w:sz w:val="22"/>
        </w:rPr>
        <w:t>(5) If VECP is not accepted, the KO will notify the Contractor in writing, with an explanation of why the VECP was not accepted. The KO will copy the PMO and the VE Senior Management Official.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