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**ID__DARS_49.107__ID**</w:t>
      </w:r>
    </w:p>
    <w:p>
      <w:pPr>
        <w:pStyle w:val="Heading3"/>
        <w:spacing w:after="199"/>
        <w:ind w:left="120"/>
        <w:jc w:val="left"/>
      </w:pPr>
      <w:r>
        <w:rPr>
          <w:rFonts w:ascii="Times New Roman" w:hAnsi="Times New Roman"/>
          <w:color w:val="000000"/>
          <w:sz w:val="31"/>
        </w:rPr>
        <w:t>49.107</w:t>
      </w:r>
      <w:r>
        <w:rPr>
          <w:rFonts w:ascii="Times New Roman" w:hAnsi="Times New Roman"/>
          <w:color w:val="000000"/>
          <w:sz w:val="31"/>
        </w:rPr>
        <w:t xml:space="preserve"> Audit of prime contract settlement proposals and subcontract settlements.</w:t>
      </w:r>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ensure that each prime contract settlement proposal is reviewed by a DITCO Cost/Price Analyst for the purpose of evaluating the reasonableness prior to negotiating the final settlement. The Cost/Price Analyst will assist the KO in the development of a settlement negotiation position, as necessary</w:t>
      </w:r>
    </w:p>
    <w:p>
      <w:pPr>
        <w:pBdr>
          <w:top w:space="5"/>
          <w:left w:space="5"/>
          <w:bottom w:space="5"/>
          <w:right w:space="5"/>
        </w:pBdr>
        <w:spacing w:after="0"/>
        <w:ind w:left="225"/>
        <w:jc w:val="left"/>
      </w:pPr>
      <w:r>
        <w:rPr>
          <w:rFonts w:ascii="Times New Roman" w:hAnsi="Times New Roman"/>
          <w:b w:val="false"/>
          <w:i w:val="false"/>
          <w:color w:val="000000"/>
          <w:sz w:val="22"/>
        </w:rPr>
        <w:t>(c) Requests to an Audit agency to perform an accounting review will be prepared by the Cost/Price Analyst, for signature by the KO. An audit request is not required for commercial item contracts awarded under Part 12 procedures, in accordance with FAR 49.002(a)(2). See FAR subpart 12.403 for termination policies for commercial item contracts.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