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**ID__DARS_2.101__ID**</w:t>
      </w:r>
    </w:p>
    <w:p>
      <w:pPr>
        <w:pStyle w:val="Heading3"/>
        <w:spacing w:after="199"/>
        <w:ind w:left="120"/>
        <w:jc w:val="left"/>
      </w:pPr>
      <w:r>
        <w:rPr>
          <w:rFonts w:ascii="Times New Roman" w:hAnsi="Times New Roman"/>
          <w:color w:val="000000"/>
          <w:sz w:val="31"/>
        </w:rPr>
        <w:t>2.101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val="false"/>
          <w:i/>
          <w:color w:val="000000"/>
          <w:sz w:val="22"/>
        </w:rPr>
        <w:t>Acquisition.</w:t>
      </w:r>
      <w:r>
        <w:rPr>
          <w:rFonts w:ascii="Times New Roman" w:hAnsi="Times New Roman"/>
          <w:b w:val="false"/>
          <w:i w:val="false"/>
          <w:color w:val="000000"/>
          <w:sz w:val="22"/>
        </w:rPr>
        <w:t xml:space="preserve"> Acquisition as used in this supplement has the same meaning as stated in FAR 2.101. Acquisition begins at the point when agency needs are established and ends with contract closeout.</w:t>
      </w:r>
    </w:p>
    <w:p>
      <w:pPr>
        <w:pBdr>
          <w:top w:space="5"/>
          <w:left w:space="5"/>
          <w:bottom w:space="5"/>
          <w:right w:space="5"/>
        </w:pBdr>
        <w:spacing w:after="0"/>
        <w:ind w:left="225"/>
        <w:jc w:val="left"/>
      </w:pPr>
      <w:r>
        <w:rPr>
          <w:rFonts w:ascii="Times New Roman" w:hAnsi="Times New Roman"/>
          <w:b w:val="false"/>
          <w:i/>
          <w:color w:val="000000"/>
          <w:sz w:val="22"/>
        </w:rPr>
        <w:t>Agency.</w:t>
      </w:r>
      <w:r>
        <w:rPr>
          <w:rFonts w:ascii="Times New Roman" w:hAnsi="Times New Roman"/>
          <w:b w:val="false"/>
          <w:i w:val="false"/>
          <w:color w:val="000000"/>
          <w:sz w:val="22"/>
        </w:rPr>
        <w:t xml:space="preserve"> This term means DISA.</w:t>
      </w:r>
    </w:p>
    <w:p>
      <w:pPr>
        <w:pBdr>
          <w:top w:space="5"/>
          <w:left w:space="5"/>
          <w:bottom w:space="5"/>
          <w:right w:space="5"/>
        </w:pBdr>
        <w:spacing w:after="0"/>
        <w:ind w:left="225"/>
        <w:jc w:val="left"/>
      </w:pPr>
      <w:r>
        <w:rPr>
          <w:rFonts w:ascii="Times New Roman" w:hAnsi="Times New Roman"/>
          <w:b w:val="false"/>
          <w:i/>
          <w:color w:val="000000"/>
          <w:sz w:val="22"/>
        </w:rPr>
        <w:t>Agency Head.</w:t>
      </w:r>
      <w:r>
        <w:rPr>
          <w:rFonts w:ascii="Times New Roman" w:hAnsi="Times New Roman"/>
          <w:b w:val="false"/>
          <w:i w:val="false"/>
          <w:color w:val="000000"/>
          <w:sz w:val="22"/>
        </w:rPr>
        <w:t xml:space="preserve"> Agency Head means, when designated by the DISA Director, the Executive Deputy Director, of the Assistant to the Director, except where law or regulations specify the Director, Defense Pricing and Contracting (DPC).</w:t>
      </w:r>
    </w:p>
    <w:p>
      <w:pPr>
        <w:pBdr>
          <w:top w:space="5"/>
          <w:left w:space="5"/>
          <w:bottom w:space="5"/>
          <w:right w:space="5"/>
        </w:pBdr>
        <w:spacing w:after="0"/>
        <w:ind w:left="225"/>
        <w:jc w:val="left"/>
      </w:pPr>
      <w:r>
        <w:rPr>
          <w:rFonts w:ascii="Times New Roman" w:hAnsi="Times New Roman"/>
          <w:b w:val="false"/>
          <w:i/>
          <w:color w:val="000000"/>
          <w:sz w:val="22"/>
        </w:rPr>
        <w:t>Chief of the Contracting Office (</w:t>
      </w:r>
      <w:r>
        <w:rPr>
          <w:rFonts w:ascii="Times New Roman" w:hAnsi="Times New Roman"/>
          <w:b w:val="false"/>
          <w:i/>
          <w:color w:val="000000"/>
          <w:sz w:val="22"/>
        </w:rPr>
        <w:t>CoCO</w:t>
      </w:r>
      <w:r>
        <w:rPr>
          <w:rFonts w:ascii="Times New Roman" w:hAnsi="Times New Roman"/>
          <w:b w:val="false"/>
          <w:i/>
          <w:color w:val="000000"/>
          <w:sz w:val="22"/>
        </w:rPr>
        <w:t>).</w:t>
      </w:r>
      <w:r>
        <w:rPr>
          <w:rFonts w:ascii="Times New Roman" w:hAnsi="Times New Roman"/>
          <w:b w:val="false"/>
          <w:i w:val="false"/>
          <w:color w:val="000000"/>
          <w:sz w:val="22"/>
        </w:rPr>
        <w:t>CoCO means the individual(s) responsible for managing the contracting branch(es) within a DITCO or DITCO Component. The CoCO serves as a business advisor to the HCA and HCO, and provides oversight, guidance and management of the entire contracting process for all branches within a DITCO or DITCO Component.</w:t>
      </w:r>
    </w:p>
    <w:p>
      <w:pPr>
        <w:pBdr>
          <w:top w:space="5"/>
          <w:left w:space="5"/>
          <w:bottom w:space="5"/>
          <w:right w:space="5"/>
        </w:pBdr>
        <w:spacing w:after="0"/>
        <w:ind w:left="225"/>
        <w:jc w:val="left"/>
      </w:pP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This term refers to DISA’s contracting organization, the Defense Information Technology Contracting Organization (DITCO).</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w:pPr>
        <w:pBdr>
          <w:top w:space="5"/>
          <w:left w:space="5"/>
          <w:bottom w:space="5"/>
          <w:right w:space="5"/>
        </w:pBdr>
        <w:spacing w:after="0"/>
        <w:ind w:left="225"/>
        <w:jc w:val="left"/>
      </w:pPr>
      <w:r>
        <w:rPr>
          <w:rFonts w:ascii="Times New Roman" w:hAnsi="Times New Roman"/>
          <w:b w:val="false"/>
          <w:i/>
          <w:color w:val="000000"/>
          <w:sz w:val="22"/>
        </w:rPr>
        <w:t>Contract value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indefinite term telecommunications services contracts (i.e., month-to- month) the contract value is the total non-recurring charge (NRC), plus the monthly recurring charge (MRC) times the estimated service life (in months).</w:t>
      </w:r>
    </w:p>
    <w:p>
      <w:pPr>
        <w:pBdr>
          <w:top w:space="5"/>
          <w:left w:space="5"/>
          <w:bottom w:space="5"/>
          <w:right w:space="5"/>
        </w:pBdr>
        <w:spacing w:after="0"/>
        <w:ind w:left="225"/>
        <w:jc w:val="left"/>
      </w:pPr>
      <w:r>
        <w:rPr>
          <w:rFonts w:ascii="Times New Roman" w:hAnsi="Times New Roman"/>
          <w:b w:val="false"/>
          <w:i w:val="false"/>
          <w:color w:val="000000"/>
          <w:sz w:val="22"/>
        </w:rPr>
        <w:t>b. For definite term contracts, the contract value is the base value of the contract, including all priced option periods.</w:t>
      </w:r>
    </w:p>
    <w:p>
      <w:pPr>
        <w:pBdr>
          <w:top w:space="5"/>
          <w:left w:space="5"/>
          <w:bottom w:space="5"/>
          <w:right w:space="5"/>
        </w:pBdr>
        <w:spacing w:after="0"/>
        <w:ind w:left="225"/>
        <w:jc w:val="left"/>
      </w:pPr>
      <w:r>
        <w:rPr>
          <w:rFonts w:ascii="Times New Roman" w:hAnsi="Times New Roman"/>
          <w:b w:val="false"/>
          <w:i w:val="false"/>
          <w:color w:val="000000"/>
          <w:sz w:val="22"/>
        </w:rPr>
        <w:t>c. The total estimated contract value is the base value of the contract plus all priced options. The total estimated contract value does not include the value of the 6-month unpriced FAR 52.217-8, Option to Extend Services (if used in the contract action) option period.</w:t>
      </w:r>
    </w:p>
    <w:p>
      <w:pPr>
        <w:pBdr>
          <w:top w:space="5"/>
          <w:left w:space="5"/>
          <w:bottom w:space="5"/>
          <w:right w:space="5"/>
        </w:pBdr>
        <w:spacing w:after="0"/>
        <w:ind w:left="225"/>
        <w:jc w:val="left"/>
      </w:pPr>
      <w:r>
        <w:rPr>
          <w:rFonts w:ascii="Times New Roman" w:hAnsi="Times New Roman"/>
          <w:b w:val="false"/>
          <w:i w:val="false"/>
          <w:color w:val="000000"/>
          <w:sz w:val="22"/>
        </w:rPr>
        <w:t>d. The DITCO fee is not included in the contract value calculation.</w:t>
      </w:r>
    </w:p>
    <w:p>
      <w:pPr>
        <w:pBdr>
          <w:top w:space="5"/>
          <w:left w:space="5"/>
          <w:bottom w:space="5"/>
          <w:right w:space="5"/>
        </w:pBdr>
        <w:spacing w:after="0"/>
        <w:ind w:left="225"/>
        <w:jc w:val="left"/>
      </w:pPr>
      <w:r>
        <w:rPr>
          <w:rFonts w:ascii="Times New Roman" w:hAnsi="Times New Roman"/>
          <w:b w:val="false"/>
          <w:i/>
          <w:color w:val="000000"/>
          <w:sz w:val="22"/>
        </w:rPr>
        <w:t>Head of the Contracting Activity (HCA).</w:t>
      </w:r>
      <w:r>
        <w:rPr>
          <w:rFonts w:ascii="Times New Roman" w:hAnsi="Times New Roman"/>
          <w:b w:val="false"/>
          <w:i w:val="false"/>
          <w:color w:val="000000"/>
          <w:sz w:val="22"/>
        </w:rPr>
        <w:t>Procurement Services Executive/Director, Defense Information Technology Contracting Organization (PSD/DITCO), as delegated in writing by the DISA Director.</w:t>
      </w:r>
    </w:p>
    <w:p>
      <w:pPr>
        <w:pBdr>
          <w:top w:space="5"/>
          <w:left w:space="5"/>
          <w:bottom w:space="5"/>
          <w:right w:space="5"/>
        </w:pBdr>
        <w:spacing w:after="0"/>
        <w:ind w:left="225"/>
        <w:jc w:val="left"/>
      </w:pPr>
      <w:r>
        <w:rPr>
          <w:rFonts w:ascii="Times New Roman" w:hAnsi="Times New Roman"/>
          <w:b w:val="false"/>
          <w:i w:val="false"/>
          <w:color w:val="000000"/>
          <w:sz w:val="22"/>
        </w:rPr>
        <w:t>NOTE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pPr>
        <w:pBdr>
          <w:top w:space="5"/>
          <w:left w:space="5"/>
          <w:bottom w:space="5"/>
          <w:right w:space="5"/>
        </w:pBdr>
        <w:spacing w:after="0"/>
        <w:ind w:left="225"/>
        <w:jc w:val="left"/>
      </w:pPr>
      <w:r>
        <w:rPr>
          <w:rFonts w:ascii="Times New Roman" w:hAnsi="Times New Roman"/>
          <w:b w:val="false"/>
          <w:i w:val="false"/>
          <w:color w:val="000000"/>
          <w:sz w:val="22"/>
        </w:rPr>
        <w:t>Note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pPr>
        <w:pBdr>
          <w:top w:space="5"/>
          <w:left w:space="5"/>
          <w:bottom w:space="5"/>
          <w:right w:space="5"/>
        </w:pBdr>
        <w:spacing w:after="0"/>
        <w:ind w:left="585"/>
        <w:jc w:val="left"/>
      </w:pPr>
      <w:r>
        <w:rPr>
          <w:rFonts w:ascii="Times New Roman" w:hAnsi="Times New Roman"/>
          <w:b w:val="false"/>
          <w:i w:val="false"/>
          <w:color w:val="000000"/>
          <w:sz w:val="22"/>
        </w:rPr>
        <w:t>Vice, PSE</w:t>
      </w:r>
    </w:p>
    <w:p>
      <w:pPr>
        <w:pBdr>
          <w:top w:space="5"/>
          <w:left w:space="5"/>
          <w:bottom w:space="5"/>
          <w:right w:space="5"/>
        </w:pBdr>
        <w:spacing w:after="0"/>
        <w:ind w:left="585"/>
        <w:jc w:val="left"/>
      </w:pPr>
      <w:r>
        <w:rPr>
          <w:rFonts w:ascii="Times New Roman" w:hAnsi="Times New Roman"/>
          <w:b w:val="false"/>
          <w:i w:val="false"/>
          <w:color w:val="000000"/>
          <w:sz w:val="22"/>
        </w:rPr>
        <w:t>Deputy Director</w:t>
      </w:r>
    </w:p>
    <w:p>
      <w:pPr>
        <w:pBdr>
          <w:top w:space="5"/>
          <w:left w:space="5"/>
          <w:bottom w:space="5"/>
          <w:right w:space="5"/>
        </w:pBdr>
        <w:spacing w:after="0"/>
        <w:ind w:left="585"/>
        <w:jc w:val="left"/>
      </w:pPr>
      <w:r>
        <w:rPr>
          <w:rFonts w:ascii="Times New Roman" w:hAnsi="Times New Roman"/>
          <w:b w:val="false"/>
          <w:i w:val="false"/>
          <w:color w:val="000000"/>
          <w:sz w:val="22"/>
        </w:rPr>
        <w:t>DITCO-Scott</w:t>
      </w:r>
    </w:p>
    <w:p>
      <w:pPr>
        <w:pBdr>
          <w:top w:space="5"/>
          <w:left w:space="5"/>
          <w:bottom w:space="5"/>
          <w:right w:space="5"/>
        </w:pBdr>
        <w:spacing w:after="0"/>
        <w:ind w:left="585"/>
        <w:jc w:val="left"/>
      </w:pPr>
      <w:r>
        <w:rPr>
          <w:rFonts w:ascii="Times New Roman" w:hAnsi="Times New Roman"/>
          <w:b w:val="false"/>
          <w:i w:val="false"/>
          <w:color w:val="000000"/>
          <w:sz w:val="22"/>
        </w:rPr>
        <w:t>DITCO-NCR</w:t>
      </w:r>
    </w:p>
    <w:p>
      <w:pPr>
        <w:pBdr>
          <w:top w:space="5"/>
          <w:left w:space="5"/>
          <w:bottom w:space="5"/>
          <w:right w:space="5"/>
        </w:pBdr>
        <w:spacing w:after="0"/>
        <w:ind w:left="585"/>
        <w:jc w:val="left"/>
      </w:pPr>
      <w:r>
        <w:rPr>
          <w:rFonts w:ascii="Times New Roman" w:hAnsi="Times New Roman"/>
          <w:b w:val="false"/>
          <w:i w:val="false"/>
          <w:color w:val="000000"/>
          <w:sz w:val="22"/>
        </w:rPr>
        <w:t>DITCO-Pacific</w:t>
      </w:r>
    </w:p>
    <w:p>
      <w:pPr>
        <w:pBdr>
          <w:top w:space="5"/>
          <w:left w:space="5"/>
          <w:bottom w:space="5"/>
          <w:right w:space="5"/>
        </w:pBdr>
        <w:spacing w:after="0"/>
        <w:ind w:left="585"/>
        <w:jc w:val="left"/>
      </w:pPr>
      <w:r>
        <w:rPr>
          <w:rFonts w:ascii="Times New Roman" w:hAnsi="Times New Roman"/>
          <w:b w:val="false"/>
          <w:i w:val="false"/>
          <w:color w:val="000000"/>
          <w:sz w:val="22"/>
        </w:rPr>
        <w:t>DITCO-Europe</w:t>
      </w:r>
    </w:p>
    <w:p>
      <w:pPr>
        <w:pBdr>
          <w:top w:space="5"/>
          <w:left w:space="5"/>
          <w:bottom w:space="5"/>
          <w:right w:space="5"/>
        </w:pBdr>
        <w:spacing w:after="0"/>
        <w:ind w:left="225"/>
        <w:jc w:val="left"/>
      </w:pPr>
      <w:r>
        <w:rPr>
          <w:rFonts w:ascii="Times New Roman" w:hAnsi="Times New Roman"/>
          <w:b w:val="false"/>
          <w:i/>
          <w:color w:val="000000"/>
          <w:sz w:val="22"/>
        </w:rPr>
        <w:t>Head of the Contracting Office (HCO).</w:t>
      </w:r>
      <w:r>
        <w:rPr>
          <w:rFonts w:ascii="Times New Roman" w:hAnsi="Times New Roman"/>
          <w:b w:val="false"/>
          <w:i w:val="false"/>
          <w:color w:val="000000"/>
          <w:sz w:val="22"/>
        </w:rPr>
        <w:t xml:space="preserve"> The PSD Deputy Director is the HCO for the contracting field offices at DITCO-Europe (PL5), DITCO-PLA (DCCO), DITCO-NCR (PL6), 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specified contractual actions to ensure statutory, regulatory, and procedural compliance.</w:t>
      </w:r>
    </w:p>
    <w:p>
      <w:pPr>
        <w:pBdr>
          <w:top w:space="5"/>
          <w:left w:space="5"/>
          <w:bottom w:space="5"/>
          <w:right w:space="5"/>
        </w:pBdr>
        <w:spacing w:after="0"/>
        <w:ind w:left="225"/>
        <w:jc w:val="left"/>
      </w:pPr>
      <w:r>
        <w:rPr>
          <w:rFonts w:ascii="Times New Roman" w:hAnsi="Times New Roman"/>
          <w:b w:val="false"/>
          <w:i w:val="false"/>
          <w:color w:val="000000"/>
          <w:sz w:val="22"/>
        </w:rPr>
        <w:t>Note: For specific actions see DARS PGI 2.101</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p>
    <w:p>
      <w:pPr>
        <w:pBdr>
          <w:top w:space="5"/>
          <w:left w:space="5"/>
          <w:bottom w:space="5"/>
          <w:right w:space="5"/>
        </w:pBdr>
        <w:spacing w:after="0"/>
        <w:ind w:left="225"/>
        <w:jc w:val="left"/>
      </w:pPr>
      <w:r>
        <w:rPr>
          <w:rFonts w:ascii="Times New Roman" w:hAnsi="Times New Roman"/>
          <w:b w:val="false"/>
          <w:i/>
          <w:color w:val="000000"/>
          <w:sz w:val="22"/>
        </w:rPr>
        <w:t>Purchase Request (PR).</w:t>
      </w:r>
      <w:r>
        <w:rPr>
          <w:rFonts w:ascii="Times New Roman" w:hAnsi="Times New Roman"/>
          <w:b w:val="false"/>
          <w:i w:val="false"/>
          <w:color w:val="000000"/>
          <w:sz w:val="22"/>
        </w:rPr>
        <w:t>The authority to obtain supplies/services on behalf of the requirements office.</w:t>
      </w:r>
    </w:p>
    <w:p>
      <w:pPr>
        <w:pBdr>
          <w:top w:space="5"/>
          <w:left w:space="5"/>
          <w:bottom w:space="5"/>
          <w:right w:space="5"/>
        </w:pBdr>
        <w:spacing w:after="0"/>
        <w:ind w:left="225"/>
        <w:jc w:val="left"/>
      </w:pPr>
      <w:r>
        <w:rPr>
          <w:rFonts w:ascii="Times New Roman" w:hAnsi="Times New Roman"/>
          <w:b w:val="false"/>
          <w:i/>
          <w:color w:val="000000"/>
          <w:sz w:val="22"/>
        </w:rPr>
        <w:t>Senior Procurement Executive (SPE).</w:t>
      </w:r>
      <w:r>
        <w:rPr>
          <w:rFonts w:ascii="Times New Roman" w:hAnsi="Times New Roman"/>
          <w:b w:val="false"/>
          <w:i w:val="false"/>
          <w:color w:val="000000"/>
          <w:sz w:val="22"/>
        </w:rPr>
        <w:t xml:space="preserve"> 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15000" cy="95250"/>
                    </a:xfrm>
                    <a:prstGeom prst="rect">
                      <a:avLst/>
                    </a:prstGeom>
                  </pic:spPr>
                </pic:pic>
              </a:graphicData>
            </a:graphic>
          </wp:inline>
        </w:drawing>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