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**ID__DARS_4.403__ID**</w:t>
      </w:r>
    </w:p>
    <w:p>
      <w:pPr>
        <w:pStyle w:val="Heading3"/>
        <w:spacing w:after="199"/>
        <w:ind w:left="120"/>
        <w:jc w:val="left"/>
      </w:pPr>
      <w:r>
        <w:rPr>
          <w:rFonts w:ascii="Times New Roman" w:hAnsi="Times New Roman"/>
          <w:color w:val="000000"/>
          <w:sz w:val="31"/>
        </w:rPr>
        <w:t>4.403</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MP6/mp61/industrialsecurity/Shared%20Documents/Forms/AllItem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