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**ID__DARS_206.3021__ID**</w:t>
      </w:r>
    </w:p>
    <w:p>
      <w:pPr>
        <w:pStyle w:val="Heading3"/>
        <w:spacing w:after="199"/>
        <w:ind w:left="120"/>
        <w:jc w:val="left"/>
      </w:pPr>
      <w:r>
        <w:rPr>
          <w:rFonts w:ascii="Times New Roman" w:hAnsi="Times New Roman"/>
          <w:color w:val="000000"/>
          <w:sz w:val="31"/>
        </w:rPr>
        <w:t>206.302-1</w:t>
      </w:r>
      <w:r>
        <w:rPr>
          <w:rFonts w:ascii="Times New Roman" w:hAnsi="Times New Roman"/>
          <w:color w:val="000000"/>
          <w:sz w:val="31"/>
        </w:rPr>
        <w:t xml:space="preserve"> Only one responsible source and no other supplies or services will satisfy agency requirements.</w:t>
      </w:r>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225"/>
        <w:jc w:val="left"/>
      </w:pPr>
      <w:r>
        <w:rPr>
          <w:rFonts w:ascii="Times New Roman" w:hAnsi="Times New Roman"/>
          <w:b w:val="false"/>
          <w:i w:val="false"/>
          <w:color w:val="000000"/>
          <w:sz w:val="22"/>
        </w:rPr>
        <w:t>(S-90) The HCA has waived the requirement to issue a Request for Information (RFI) or Sources Sought Notice (SSN) as a market research method (see DARS 210.001 (S-92)) for:</w:t>
      </w:r>
    </w:p>
    <w:p>
      <w:pPr>
        <w:pBdr>
          <w:top w:space="5"/>
          <w:left w:space="5"/>
          <w:bottom w:space="5"/>
          <w:right w:space="5"/>
        </w:pBdr>
        <w:spacing w:after="0"/>
        <w:ind w:left="225"/>
        <w:jc w:val="left"/>
      </w:pPr>
      <w:r>
        <w:rPr>
          <w:rFonts w:ascii="Times New Roman" w:hAnsi="Times New Roman"/>
          <w:b w:val="false"/>
          <w:i w:val="false"/>
          <w:color w:val="000000"/>
          <w:sz w:val="22"/>
        </w:rPr>
        <w:t>(1) Procurement actions to increase the ceiling amount of a contract/order</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Procurement actions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