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**ID__DARS_201.170__ID**</w:t>
      </w:r>
    </w:p>
    <w:p>
      <w:pPr>
        <w:pStyle w:val="Heading3"/>
        <w:spacing w:after="199"/>
        <w:ind w:left="120"/>
        <w:jc w:val="left"/>
      </w:pPr>
      <w:r>
        <w:rPr>
          <w:rFonts w:ascii="Times New Roman" w:hAnsi="Times New Roman"/>
          <w:color w:val="000000"/>
          <w:sz w:val="31"/>
        </w:rPr>
        <w:t>201.170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1283-21-DPC.pdf" Type="http://schemas.openxmlformats.org/officeDocument/2006/relationships/hyperlink" Id="rId4"/>
    <Relationship TargetMode="External" Target="https://www.acq.osd.mil/dpap/policy/policyvault/USA000820-08-DPAP.pdf" Type="http://schemas.openxmlformats.org/officeDocument/2006/relationships/hyperlink" Id="rId5"/>
    <Relationship TargetMode="External" Target="https://www.acq.osd.mil/dpap/policy/policyvault/USA001283-21-DPC.pdf" Type="http://schemas.openxmlformats.org/officeDocument/2006/relationships/hyperlink" Id="rId6"/>
    <Relationship TargetMode="External" Target="https://www.ditco.disa.mil/hq/peerreview.asp"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