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**ID__DARS_7.105__ID**</w:t>
      </w:r>
    </w:p>
    <w:p>
      <w:pPr>
        <w:pStyle w:val="Heading3"/>
        <w:spacing w:after="199"/>
        <w:ind w:left="120"/>
        <w:jc w:val="left"/>
      </w:pPr>
      <w:r>
        <w:rPr>
          <w:rFonts w:ascii="Times New Roman" w:hAnsi="Times New Roman"/>
          <w:color w:val="000000"/>
          <w:sz w:val="31"/>
        </w:rPr>
        <w:t>7.105</w:t>
      </w:r>
      <w:r>
        <w:rPr>
          <w:rFonts w:ascii="Times New Roman" w:hAnsi="Times New Roman"/>
          <w:color w:val="000000"/>
          <w:sz w:val="31"/>
        </w:rPr>
        <w:t xml:space="preserve"> Contents of written acquisition plans.</w:t>
      </w:r>
    </w:p>
    <w:p>
      <w:pPr>
        <w:pBdr>
          <w:top w:space="5"/>
          <w:left w:space="5"/>
          <w:bottom w:space="5"/>
          <w:right w:space="5"/>
        </w:pBdr>
        <w:spacing w:after="0"/>
        <w:ind w:left="225"/>
        <w:jc w:val="left"/>
      </w:pPr>
      <w:r>
        <w:rPr>
          <w:rFonts w:ascii="Times New Roman" w:hAnsi="Times New Roman"/>
          <w:b w:val="false"/>
          <w:i w:val="false"/>
          <w:color w:val="000000"/>
          <w:sz w:val="22"/>
        </w:rPr>
        <w:t xml:space="preserve">(b)(5) </w:t>
      </w:r>
      <w:r>
        <w:rPr>
          <w:rFonts w:ascii="Times New Roman" w:hAnsi="Times New Roman"/>
          <w:b w:val="false"/>
          <w:i/>
          <w:color w:val="000000"/>
          <w:sz w:val="22"/>
        </w:rPr>
        <w:t>Acquisition considerations.</w:t>
      </w:r>
      <w:r>
        <w:rPr>
          <w:rFonts w:ascii="Times New Roman" w:hAnsi="Times New Roman"/>
          <w:b w:val="false"/>
          <w:i w:val="false"/>
          <w:color w:val="000000"/>
          <w:sz w:val="22"/>
        </w:rPr>
        <w:t xml:space="preserve"> The AP should address the minimum guarantee (dollars to be obligated at contract award for the base period) and the maximum dollar amount to be ordered. (See FAR 16.504(a)(2) and DARS 16.504(S-90)).</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