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APPENDIX-A" w:id="0"/>
      <w:r>
        <w:rPr>
          <w:rFonts w:ascii="Times New Roman" w:hAnsi="Times New Roman"/>
          <w:color w:val="000000"/>
        </w:rPr>
        <w:t>APPENDIX A - DISA PLAN FOR CONTROL OF CLAUSES</w:t>
      </w:r>
      <w:r>
        <w:rPr>
          <w:rFonts w:ascii="Times New Roman" w:hAnsi="Times New Roman"/>
          <w:color w:val="000000"/>
        </w:rPr>
        <w:t xml:space="preserve"> Table Of Contents</w:t>
      </w:r>
      <w:bookmarkEnd w:id="0"/>
    </w:p>
    <w:p>
      <w:pPr>
        <w:pBdr>
          <w:top w:space="5"/>
          <w:left w:space="5"/>
          <w:bottom w:space="5"/>
          <w:right w:space="5"/>
        </w:pBdr>
        <w:spacing w:after="0"/>
        <w:ind w:left="225"/>
        <w:jc w:val="center"/>
      </w:pPr>
      <w:r>
        <w:rPr>
          <w:rFonts w:ascii="Times New Roman" w:hAnsi="Times New Roman"/>
          <w:b w:val="false"/>
          <w:i w:val="false"/>
          <w:color w:val="000000"/>
          <w:sz w:val="22"/>
        </w:rPr>
        <w:t>Defense Information Systems Agency</w:t>
      </w:r>
    </w:p>
    <w:p>
      <w:pPr>
        <w:pBdr>
          <w:top w:space="5"/>
          <w:left w:space="5"/>
          <w:bottom w:space="5"/>
          <w:right w:space="5"/>
        </w:pBdr>
        <w:spacing w:after="0"/>
        <w:ind w:left="225"/>
        <w:jc w:val="center"/>
      </w:pPr>
      <w:r>
        <w:rPr>
          <w:rFonts w:ascii="Times New Roman" w:hAnsi="Times New Roman"/>
          <w:b w:val="false"/>
          <w:i w:val="false"/>
          <w:color w:val="000000"/>
          <w:sz w:val="22"/>
        </w:rPr>
        <w:t>Procurement Services Directorate (PSD)/Defense Information Technology Contracting Organization (DITCO)</w:t>
      </w:r>
    </w:p>
    <w:p>
      <w:pPr>
        <w:pBdr>
          <w:top w:space="5"/>
          <w:left w:space="5"/>
          <w:bottom w:space="5"/>
          <w:right w:space="5"/>
        </w:pBdr>
        <w:spacing w:after="0"/>
        <w:ind w:left="225"/>
        <w:jc w:val="center"/>
      </w:pPr>
      <w:r>
        <w:rPr>
          <w:rFonts w:ascii="Times New Roman" w:hAnsi="Times New Roman"/>
          <w:b w:val="false"/>
          <w:i w:val="false"/>
          <w:color w:val="000000"/>
          <w:sz w:val="22"/>
        </w:rPr>
        <w:t>Clause Control Plan</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val="false"/>
          <w:i w:val="false"/>
          <w:color w:val="000000"/>
          <w:sz w:val="22"/>
          <w:u w:val="single"/>
        </w:rPr>
        <w:t>Purpose</w:t>
      </w:r>
    </w:p>
    <w:p>
      <w:pPr>
        <w:pBdr>
          <w:top w:space="5"/>
          <w:left w:space="5"/>
          <w:bottom w:space="5"/>
          <w:right w:space="5"/>
        </w:pBdr>
        <w:spacing w:after="0"/>
        <w:ind w:left="225"/>
        <w:jc w:val="left"/>
      </w:pPr>
      <w:r>
        <w:rPr>
          <w:rFonts w:ascii="Times New Roman" w:hAnsi="Times New Roman"/>
          <w:b w:val="false"/>
          <w:i w:val="false"/>
          <w:color w:val="000000"/>
          <w:sz w:val="22"/>
        </w:rPr>
        <w:t>Revised August 2018</w:t>
      </w:r>
    </w:p>
    <w:p>
      <w:pPr>
        <w:pBdr>
          <w:top w:space="5"/>
          <w:left w:space="5"/>
          <w:bottom w:space="5"/>
          <w:right w:space="5"/>
        </w:pBdr>
        <w:spacing w:after="0"/>
        <w:ind w:left="225"/>
        <w:jc w:val="left"/>
      </w:pPr>
      <w:r>
        <w:rPr>
          <w:rFonts w:ascii="Times New Roman" w:hAnsi="Times New Roman"/>
          <w:b w:val="false"/>
          <w:i w:val="false"/>
          <w:color w:val="000000"/>
          <w:sz w:val="22"/>
        </w:rPr>
        <w:t>This plan establishes procedures and a system of controls for:</w:t>
      </w:r>
    </w:p>
    <w:p>
      <w:pPr>
        <w:pBdr>
          <w:top w:space="5"/>
          <w:left w:space="5"/>
          <w:bottom w:space="5"/>
          <w:right w:space="5"/>
        </w:pBdr>
        <w:spacing w:after="0"/>
        <w:ind w:left="225"/>
        <w:jc w:val="left"/>
      </w:pPr>
      <w:r>
        <w:rPr>
          <w:rFonts w:ascii="Times New Roman" w:hAnsi="Times New Roman"/>
          <w:b w:val="false"/>
          <w:i w:val="false"/>
          <w:color w:val="000000"/>
          <w:sz w:val="22"/>
        </w:rPr>
        <w:t>a. Review requirements and approval authorities for one-time and class deviations;</w:t>
      </w:r>
    </w:p>
    <w:p>
      <w:pPr>
        <w:pBdr>
          <w:top w:space="5"/>
          <w:left w:space="5"/>
          <w:bottom w:space="5"/>
          <w:right w:space="5"/>
        </w:pBdr>
        <w:spacing w:after="0"/>
        <w:ind w:left="225"/>
        <w:jc w:val="left"/>
      </w:pPr>
      <w:r>
        <w:rPr>
          <w:rFonts w:ascii="Times New Roman" w:hAnsi="Times New Roman"/>
          <w:b w:val="false"/>
          <w:i w:val="false"/>
          <w:color w:val="000000"/>
          <w:sz w:val="22"/>
        </w:rPr>
        <w:t>b. Use of unique or special clauses;</w:t>
      </w:r>
    </w:p>
    <w:p>
      <w:pPr>
        <w:pBdr>
          <w:top w:space="5"/>
          <w:left w:space="5"/>
          <w:bottom w:space="5"/>
          <w:right w:space="5"/>
        </w:pBdr>
        <w:spacing w:after="0"/>
        <w:ind w:left="225"/>
        <w:jc w:val="left"/>
      </w:pPr>
      <w:r>
        <w:rPr>
          <w:rFonts w:ascii="Times New Roman" w:hAnsi="Times New Roman"/>
          <w:b w:val="false"/>
          <w:i w:val="false"/>
          <w:color w:val="000000"/>
          <w:sz w:val="22"/>
        </w:rPr>
        <w:t>c. Review and identification of component level clauses for inclusion in the DISA Acquisition Regulation Supplement (DARS); and</w:t>
      </w:r>
    </w:p>
    <w:p>
      <w:pPr>
        <w:pBdr>
          <w:top w:space="5"/>
          <w:left w:space="5"/>
          <w:bottom w:space="5"/>
          <w:right w:space="5"/>
        </w:pBdr>
        <w:spacing w:after="0"/>
        <w:ind w:left="225"/>
        <w:jc w:val="left"/>
      </w:pPr>
      <w:r>
        <w:rPr>
          <w:rFonts w:ascii="Times New Roman" w:hAnsi="Times New Roman"/>
          <w:b w:val="false"/>
          <w:i w:val="false"/>
          <w:color w:val="000000"/>
          <w:sz w:val="22"/>
        </w:rPr>
        <w:t>d. Identifying all clauses included in solicitations and contracts, whether or not included in the DARS, as required by FAR 52.101, 52.103, and DFARS 252.101.</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val="false"/>
          <w:i w:val="false"/>
          <w:color w:val="000000"/>
          <w:sz w:val="22"/>
          <w:u w:val="single"/>
        </w:rPr>
        <w:t>Definitions</w:t>
      </w:r>
    </w:p>
    <w:p>
      <w:pPr>
        <w:pBdr>
          <w:top w:space="5"/>
          <w:left w:space="5"/>
          <w:bottom w:space="5"/>
          <w:right w:space="5"/>
        </w:pBdr>
        <w:spacing w:after="0"/>
        <w:ind w:left="225"/>
        <w:jc w:val="left"/>
      </w:pPr>
      <w:r>
        <w:rPr>
          <w:rFonts w:ascii="Times New Roman" w:hAnsi="Times New Roman"/>
          <w:b w:val="false"/>
          <w:i w:val="false"/>
          <w:color w:val="000000"/>
          <w:sz w:val="22"/>
        </w:rPr>
        <w:t>For the purpose of this Plan, the terms “regulation” and “clause” have the following meanings:</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val="false"/>
          <w:color w:val="000000"/>
          <w:sz w:val="22"/>
          <w:u w:val="single"/>
        </w:rPr>
        <w:t>Regulation</w:t>
      </w:r>
      <w:r>
        <w:rPr>
          <w:rFonts w:ascii="Times New Roman" w:hAnsi="Times New Roman"/>
          <w:b w:val="false"/>
          <w:i w:val="false"/>
          <w:color w:val="000000"/>
          <w:sz w:val="22"/>
        </w:rPr>
        <w:t>. Any contracting supplement, policy letter, clause book, automated system, or similar regulatory instrument.</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val="false"/>
          <w:color w:val="000000"/>
          <w:sz w:val="22"/>
          <w:u w:val="single"/>
        </w:rPr>
        <w:t>Clause</w:t>
      </w:r>
      <w:r>
        <w:rPr>
          <w:rFonts w:ascii="Times New Roman" w:hAnsi="Times New Roman"/>
          <w:b w:val="false"/>
          <w:i w:val="false"/>
          <w:color w:val="000000"/>
          <w:sz w:val="22"/>
        </w:rPr>
        <w:t>. Includes provisions and means a term or condition of the type set forth in FAR Part 52/DFARS Part 252.</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val="false"/>
          <w:color w:val="000000"/>
          <w:sz w:val="22"/>
          <w:u w:val="single"/>
        </w:rPr>
        <w:t>Other Key Terms</w:t>
      </w:r>
      <w:r>
        <w:rPr>
          <w:rFonts w:ascii="Times New Roman" w:hAnsi="Times New Roman"/>
          <w:b w:val="false"/>
          <w:i w:val="false"/>
          <w:color w:val="000000"/>
          <w:sz w:val="22"/>
        </w:rPr>
        <w:t>. The following matrix reflects additional key terms along with related FAR and DFARS references.</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val="false"/>
          <w:color w:val="000000"/>
          <w:sz w:val="22"/>
          <w:u w:val="single"/>
        </w:rPr>
        <w:t>Table of Approval Authorities</w:t>
      </w:r>
    </w:p>
    <w:p>
      <w:pPr>
        <w:pBdr>
          <w:top w:space="5"/>
          <w:left w:space="5"/>
          <w:bottom w:space="5"/>
          <w:right w:space="5"/>
        </w:pBdr>
        <w:spacing w:after="0"/>
        <w:ind w:left="225"/>
        <w:jc w:val="left"/>
      </w:pPr>
      <w:r>
        <w:rPr>
          <w:rFonts w:ascii="Times New Roman" w:hAnsi="Times New Roman"/>
          <w:b w:val="false"/>
          <w:i w:val="false"/>
          <w:color w:val="000000"/>
          <w:sz w:val="22"/>
        </w:rPr>
        <w:t xml:space="preserve">4. </w:t>
      </w:r>
      <w:r>
        <w:rPr>
          <w:rFonts w:ascii="Times New Roman" w:hAnsi="Times New Roman"/>
          <w:b w:val="false"/>
          <w:i w:val="false"/>
          <w:color w:val="000000"/>
          <w:sz w:val="22"/>
          <w:u w:val="single"/>
        </w:rPr>
        <w:t>Deviation Review Procedures</w:t>
      </w:r>
    </w:p>
    <w:p>
      <w:pPr>
        <w:pBdr>
          <w:top w:space="5"/>
          <w:left w:space="5"/>
          <w:bottom w:space="5"/>
          <w:right w:space="5"/>
        </w:pBdr>
        <w:spacing w:after="0"/>
        <w:ind w:left="585"/>
        <w:jc w:val="left"/>
      </w:pPr>
      <w:r>
        <w:rPr>
          <w:rFonts w:ascii="Times New Roman" w:hAnsi="Times New Roman"/>
          <w:b w:val="false"/>
          <w:i w:val="false"/>
          <w:color w:val="000000"/>
          <w:sz w:val="22"/>
        </w:rPr>
        <w:t xml:space="preserve">a. Written justification for a new certification by a contractor or offeror that requires approval by the Secretary of Defense shall be processed by routing (See </w:t>
      </w:r>
      <w:hyperlink r:id="R2955c7661a5c4cf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Document</w:t>
        </w:r>
      </w:hyperlink>
      <w:hyperlink r:id="R358403f9f0984c9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Approval Signature Routing Procedures</w:t>
        </w:r>
      </w:hyperlink>
      <w:r>
        <w:rPr>
          <w:rFonts w:ascii="Times New Roman" w:hAnsi="Times New Roman"/>
          <w:b w:val="false"/>
          <w:i w:val="false"/>
          <w:color w:val="000000"/>
          <w:sz w:val="22"/>
        </w:rPr>
        <w:t xml:space="preserve"> from the Contracting Officer through the cognizant CoCO and HCO, PL21, Contract Policy Branch, the Office of General Counsel, and HCA prior to approval by the SPE and submission to the DAR Council Director for processing to USD (A&amp;S) via OUSD (A&amp;S) DPC.</w:t>
      </w:r>
    </w:p>
    <w:p>
      <w:pPr>
        <w:pBdr>
          <w:top w:space="5"/>
          <w:left w:space="5"/>
          <w:bottom w:space="5"/>
          <w:right w:space="5"/>
        </w:pBdr>
        <w:spacing w:after="0"/>
        <w:ind w:left="585"/>
        <w:jc w:val="left"/>
      </w:pPr>
      <w:r>
        <w:rPr>
          <w:rFonts w:ascii="Times New Roman" w:hAnsi="Times New Roman"/>
          <w:b w:val="false"/>
          <w:i w:val="false"/>
          <w:color w:val="000000"/>
          <w:sz w:val="22"/>
        </w:rPr>
        <w:t xml:space="preserve">b. Proposed deviations from FAR or DFARS that require approval by OUSD (A&amp;S) DPC shall be processed by routing (See </w:t>
      </w:r>
      <w:hyperlink r:id="R810fb60376494c8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Document Approval Signature Routing</w:t>
        </w:r>
      </w:hyperlink>
      <w:hyperlink r:id="R9e5d21b2034945d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Procedures</w:t>
        </w:r>
      </w:hyperlink>
      <w:r>
        <w:rPr>
          <w:rFonts w:ascii="Times New Roman" w:hAnsi="Times New Roman"/>
          <w:b w:val="false"/>
          <w:i w:val="false"/>
          <w:color w:val="000000"/>
          <w:sz w:val="22"/>
        </w:rPr>
        <w:t xml:space="preserve"> from the contracting officer through the cognizant CoCO and HCO, PL21 Contract Policy Branch, the Office of General Counsel, and HCA prior to approval by the SPE and submission to the DAR Council Director for processing. The PL21 Contract Policy Branch will coordinate with the DAR Council representative on required approvals, as necessary.</w:t>
      </w:r>
    </w:p>
    <w:p>
      <w:pPr>
        <w:pBdr>
          <w:top w:space="5"/>
          <w:left w:space="5"/>
          <w:bottom w:space="5"/>
          <w:right w:space="5"/>
        </w:pBdr>
        <w:spacing w:after="0"/>
        <w:ind w:left="585"/>
        <w:jc w:val="left"/>
      </w:pPr>
      <w:r>
        <w:rPr>
          <w:rFonts w:ascii="Times New Roman" w:hAnsi="Times New Roman"/>
          <w:b w:val="false"/>
          <w:i w:val="false"/>
          <w:color w:val="000000"/>
          <w:sz w:val="22"/>
        </w:rPr>
        <w:t>c. Proposed individual deviations from FAR, DFARS, or DARS that do not require OUSD (A&amp;S) DPC approval, shall be processed by routing with DISA Form 320a from the contracting officer through the cognizant CoCO and HCO, PL21 Policy Branch, and Office of General Counsel for approval by the Head of the Contracting Activity.</w:t>
      </w:r>
    </w:p>
    <w:p>
      <w:pPr>
        <w:pBdr>
          <w:top w:space="5"/>
          <w:left w:space="5"/>
          <w:bottom w:space="5"/>
          <w:right w:space="5"/>
        </w:pBdr>
        <w:spacing w:after="0"/>
        <w:ind w:left="585"/>
        <w:jc w:val="left"/>
      </w:pPr>
      <w:r>
        <w:rPr>
          <w:rFonts w:ascii="Times New Roman" w:hAnsi="Times New Roman"/>
          <w:b w:val="false"/>
          <w:i w:val="false"/>
          <w:color w:val="000000"/>
          <w:sz w:val="22"/>
        </w:rPr>
        <w:t>e. All deviation requests for approval shall include, at a minimum, the information required by DFARS 201.402(2).</w:t>
      </w:r>
    </w:p>
    <w:p>
      <w:pPr>
        <w:pBdr>
          <w:top w:space="5"/>
          <w:left w:space="5"/>
          <w:bottom w:space="5"/>
          <w:right w:space="5"/>
        </w:pBdr>
        <w:spacing w:after="0"/>
        <w:ind w:left="225"/>
        <w:jc w:val="left"/>
      </w:pPr>
      <w:r>
        <w:rPr>
          <w:rFonts w:ascii="Times New Roman" w:hAnsi="Times New Roman"/>
          <w:b w:val="false"/>
          <w:i w:val="false"/>
          <w:color w:val="000000"/>
          <w:sz w:val="22"/>
        </w:rPr>
        <w:t xml:space="preserve">5. </w:t>
      </w:r>
      <w:r>
        <w:rPr>
          <w:rFonts w:ascii="Times New Roman" w:hAnsi="Times New Roman"/>
          <w:b w:val="false"/>
          <w:i w:val="false"/>
          <w:color w:val="000000"/>
          <w:sz w:val="22"/>
          <w:u w:val="single"/>
        </w:rPr>
        <w:t>Unique or Special Requirements Review Procedures</w:t>
      </w:r>
    </w:p>
    <w:p>
      <w:pPr>
        <w:pBdr>
          <w:top w:space="5"/>
          <w:left w:space="5"/>
          <w:bottom w:space="5"/>
          <w:right w:space="5"/>
        </w:pBdr>
        <w:spacing w:after="0"/>
        <w:ind w:left="585"/>
        <w:jc w:val="left"/>
      </w:pPr>
      <w:r>
        <w:rPr>
          <w:rFonts w:ascii="Times New Roman" w:hAnsi="Times New Roman"/>
          <w:b w:val="false"/>
          <w:i w:val="false"/>
          <w:color w:val="000000"/>
          <w:sz w:val="22"/>
        </w:rPr>
        <w:t>a. Proposed contract administration data or supplemental contract requirements which fulfill a specific and unique requirement of the acquisition and are not for repetitive use, or are the result of negotiations, do not constitute a deviation from the FAR or DFARS, and which do not require the approval of OUSD (A&amp;S) DPC will be submitted drafted by the PL21 Contract Policy Branch ICA the Office of General Counsel for approval by the Head of the Contracting Activity The following requirements are not required to be included in agency acquisition regulations:</w:t>
      </w:r>
    </w:p>
    <w:p>
      <w:pPr>
        <w:pBdr>
          <w:top w:space="5"/>
          <w:left w:space="5"/>
          <w:bottom w:space="5"/>
          <w:right w:space="5"/>
        </w:pBdr>
        <w:spacing w:after="0"/>
        <w:ind w:left="225"/>
        <w:jc w:val="left"/>
      </w:pPr>
      <w:r>
        <w:rPr>
          <w:rFonts w:ascii="Times New Roman" w:hAnsi="Times New Roman"/>
          <w:b w:val="false"/>
          <w:i w:val="false"/>
          <w:color w:val="000000"/>
          <w:sz w:val="22"/>
        </w:rPr>
        <w:t>G1. Points of Contact</w:t>
      </w:r>
    </w:p>
    <w:p>
      <w:pPr>
        <w:pBdr>
          <w:top w:space="5"/>
          <w:left w:space="5"/>
          <w:bottom w:space="5"/>
          <w:right w:space="5"/>
        </w:pBdr>
        <w:spacing w:after="0"/>
        <w:ind w:left="225"/>
        <w:jc w:val="left"/>
      </w:pPr>
      <w:r>
        <w:rPr>
          <w:rFonts w:ascii="Times New Roman" w:hAnsi="Times New Roman"/>
          <w:b w:val="false"/>
          <w:i w:val="false"/>
          <w:color w:val="000000"/>
          <w:sz w:val="22"/>
        </w:rPr>
        <w:t>G2. Contract/Order Closeout-Fixed-Price, Time-and-Materials, or Labor-Hour</w:t>
      </w:r>
    </w:p>
    <w:p>
      <w:pPr>
        <w:pBdr>
          <w:top w:space="5"/>
          <w:left w:space="5"/>
          <w:bottom w:space="5"/>
          <w:right w:space="5"/>
        </w:pBdr>
        <w:spacing w:after="0"/>
        <w:ind w:left="225"/>
        <w:jc w:val="left"/>
      </w:pPr>
      <w:r>
        <w:rPr>
          <w:rFonts w:ascii="Times New Roman" w:hAnsi="Times New Roman"/>
          <w:b w:val="false"/>
          <w:i w:val="false"/>
          <w:color w:val="000000"/>
          <w:sz w:val="22"/>
        </w:rPr>
        <w:t>G3. Ordering Procedures for External Agencies/Organizations</w:t>
      </w:r>
    </w:p>
    <w:p>
      <w:pPr>
        <w:pBdr>
          <w:top w:space="5"/>
          <w:left w:space="5"/>
          <w:bottom w:space="5"/>
          <w:right w:space="5"/>
        </w:pBdr>
        <w:spacing w:after="0"/>
        <w:ind w:left="225"/>
        <w:jc w:val="left"/>
      </w:pPr>
      <w:r>
        <w:rPr>
          <w:rFonts w:ascii="Times New Roman" w:hAnsi="Times New Roman"/>
          <w:b w:val="false"/>
          <w:i w:val="false"/>
          <w:color w:val="000000"/>
          <w:sz w:val="22"/>
        </w:rPr>
        <w:t>G20. Electronic Invoicing for Telecommunications Services</w:t>
      </w:r>
    </w:p>
    <w:p>
      <w:pPr>
        <w:pBdr>
          <w:top w:space="5"/>
          <w:left w:space="5"/>
          <w:bottom w:space="5"/>
          <w:right w:space="5"/>
        </w:pBdr>
        <w:spacing w:after="0"/>
        <w:ind w:left="225"/>
        <w:jc w:val="left"/>
      </w:pPr>
      <w:r>
        <w:rPr>
          <w:rFonts w:ascii="Times New Roman" w:hAnsi="Times New Roman"/>
          <w:b w:val="false"/>
          <w:i w:val="false"/>
          <w:color w:val="000000"/>
          <w:sz w:val="22"/>
        </w:rPr>
        <w:t>G21. Contract Payments - Delivery Ticket Invoice (DTI)</w:t>
      </w:r>
    </w:p>
    <w:p>
      <w:pPr>
        <w:pBdr>
          <w:top w:space="5"/>
          <w:left w:space="5"/>
          <w:bottom w:space="5"/>
          <w:right w:space="5"/>
        </w:pBdr>
        <w:spacing w:after="0"/>
        <w:ind w:left="225"/>
        <w:jc w:val="left"/>
      </w:pPr>
      <w:r>
        <w:rPr>
          <w:rFonts w:ascii="Times New Roman" w:hAnsi="Times New Roman"/>
          <w:b w:val="false"/>
          <w:i w:val="false"/>
          <w:color w:val="000000"/>
          <w:sz w:val="22"/>
        </w:rPr>
        <w:t>G23. Outage Credits</w:t>
      </w:r>
    </w:p>
    <w:p>
      <w:pPr>
        <w:pBdr>
          <w:top w:space="5"/>
          <w:left w:space="5"/>
          <w:bottom w:space="5"/>
          <w:right w:space="5"/>
        </w:pBdr>
        <w:spacing w:after="0"/>
        <w:ind w:left="225"/>
        <w:jc w:val="left"/>
      </w:pPr>
      <w:r>
        <w:rPr>
          <w:rFonts w:ascii="Times New Roman" w:hAnsi="Times New Roman"/>
          <w:b w:val="false"/>
          <w:i w:val="false"/>
          <w:color w:val="000000"/>
          <w:sz w:val="22"/>
        </w:rPr>
        <w:t>G24. Contract Billing Dates for Services</w:t>
      </w:r>
    </w:p>
    <w:p>
      <w:pPr>
        <w:pBdr>
          <w:top w:space="5"/>
          <w:left w:space="5"/>
          <w:bottom w:space="5"/>
          <w:right w:space="5"/>
        </w:pBdr>
        <w:spacing w:after="0"/>
        <w:ind w:left="225"/>
        <w:jc w:val="left"/>
      </w:pPr>
      <w:r>
        <w:rPr>
          <w:rFonts w:ascii="Times New Roman" w:hAnsi="Times New Roman"/>
          <w:b w:val="false"/>
          <w:i w:val="false"/>
          <w:color w:val="000000"/>
          <w:sz w:val="22"/>
        </w:rPr>
        <w:t>H1. Organizational and Consultant Conflicts of Interest (OCCI) H2. Requirement to Submit an Electronic Product List</w:t>
      </w:r>
    </w:p>
    <w:p>
      <w:pPr>
        <w:pBdr>
          <w:top w:space="5"/>
          <w:left w:space="5"/>
          <w:bottom w:space="5"/>
          <w:right w:space="5"/>
        </w:pBdr>
        <w:spacing w:after="0"/>
        <w:ind w:left="225"/>
        <w:jc w:val="left"/>
      </w:pPr>
      <w:r>
        <w:rPr>
          <w:rFonts w:ascii="Times New Roman" w:hAnsi="Times New Roman"/>
          <w:b w:val="false"/>
          <w:i w:val="false"/>
          <w:color w:val="000000"/>
          <w:sz w:val="22"/>
        </w:rPr>
        <w:t>H2. Requirement to Submit an Electronic Product List</w:t>
      </w:r>
    </w:p>
    <w:p>
      <w:pPr>
        <w:pBdr>
          <w:top w:space="5"/>
          <w:left w:space="5"/>
          <w:bottom w:space="5"/>
          <w:right w:space="5"/>
        </w:pBdr>
        <w:spacing w:after="0"/>
        <w:ind w:left="225"/>
        <w:jc w:val="left"/>
      </w:pPr>
      <w:r>
        <w:rPr>
          <w:rFonts w:ascii="Times New Roman" w:hAnsi="Times New Roman"/>
          <w:b w:val="false"/>
          <w:i w:val="false"/>
          <w:color w:val="000000"/>
          <w:sz w:val="22"/>
        </w:rPr>
        <w:t>H3. Key Personnel</w:t>
      </w:r>
    </w:p>
    <w:p>
      <w:pPr>
        <w:pBdr>
          <w:top w:space="5"/>
          <w:left w:space="5"/>
          <w:bottom w:space="5"/>
          <w:right w:space="5"/>
        </w:pBdr>
        <w:spacing w:after="0"/>
        <w:ind w:left="225"/>
        <w:jc w:val="left"/>
      </w:pPr>
      <w:r>
        <w:rPr>
          <w:rFonts w:ascii="Times New Roman" w:hAnsi="Times New Roman"/>
          <w:b w:val="false"/>
          <w:i w:val="false"/>
          <w:color w:val="000000"/>
          <w:sz w:val="22"/>
        </w:rPr>
        <w:t>H5. Use of Government-Furnished Computers</w:t>
      </w:r>
    </w:p>
    <w:p>
      <w:pPr>
        <w:pBdr>
          <w:top w:space="5"/>
          <w:left w:space="5"/>
          <w:bottom w:space="5"/>
          <w:right w:space="5"/>
        </w:pBdr>
        <w:spacing w:after="0"/>
        <w:ind w:left="225"/>
        <w:jc w:val="left"/>
      </w:pPr>
      <w:r>
        <w:rPr>
          <w:rFonts w:ascii="Times New Roman" w:hAnsi="Times New Roman"/>
          <w:b w:val="false"/>
          <w:i w:val="false"/>
          <w:color w:val="000000"/>
          <w:sz w:val="22"/>
        </w:rPr>
        <w:t>H6. Option to Exercise Surge Support</w:t>
      </w:r>
    </w:p>
    <w:p>
      <w:pPr>
        <w:pBdr>
          <w:top w:space="5"/>
          <w:left w:space="5"/>
          <w:bottom w:space="5"/>
          <w:right w:space="5"/>
        </w:pBdr>
        <w:spacing w:after="0"/>
        <w:ind w:left="225"/>
        <w:jc w:val="left"/>
      </w:pPr>
      <w:r>
        <w:rPr>
          <w:rFonts w:ascii="Times New Roman" w:hAnsi="Times New Roman"/>
          <w:b w:val="false"/>
          <w:i w:val="false"/>
          <w:color w:val="000000"/>
          <w:sz w:val="22"/>
        </w:rPr>
        <w:t>H7. Defense Information Technology Contracting Organization (DITCO) Minimum Insurance Requirement</w:t>
      </w:r>
    </w:p>
    <w:p>
      <w:pPr>
        <w:pBdr>
          <w:top w:space="5"/>
          <w:left w:space="5"/>
          <w:bottom w:space="5"/>
          <w:right w:space="5"/>
        </w:pBdr>
        <w:spacing w:after="0"/>
        <w:ind w:left="225"/>
        <w:jc w:val="left"/>
      </w:pPr>
      <w:r>
        <w:rPr>
          <w:rFonts w:ascii="Times New Roman" w:hAnsi="Times New Roman"/>
          <w:b w:val="false"/>
          <w:i w:val="false"/>
          <w:color w:val="000000"/>
          <w:sz w:val="22"/>
        </w:rPr>
        <w:t>H8. Defense Information System Agency Incidental Property ManagemenT</w:t>
      </w:r>
    </w:p>
    <w:p>
      <w:pPr>
        <w:pBdr>
          <w:top w:space="5"/>
          <w:left w:space="5"/>
          <w:bottom w:space="5"/>
          <w:right w:space="5"/>
        </w:pBdr>
        <w:spacing w:after="0"/>
        <w:ind w:left="225"/>
        <w:jc w:val="left"/>
      </w:pPr>
      <w:r>
        <w:rPr>
          <w:rFonts w:ascii="Times New Roman" w:hAnsi="Times New Roman"/>
          <w:b w:val="false"/>
          <w:i w:val="false"/>
          <w:color w:val="000000"/>
          <w:sz w:val="22"/>
        </w:rPr>
        <w:t>H9. Government Furnished Property Contractor Management</w:t>
      </w:r>
    </w:p>
    <w:p>
      <w:pPr>
        <w:pBdr>
          <w:top w:space="5"/>
          <w:left w:space="5"/>
          <w:bottom w:space="5"/>
          <w:right w:space="5"/>
        </w:pBdr>
        <w:spacing w:after="0"/>
        <w:ind w:left="225"/>
        <w:jc w:val="left"/>
      </w:pPr>
      <w:r>
        <w:rPr>
          <w:rFonts w:ascii="Times New Roman" w:hAnsi="Times New Roman"/>
          <w:b w:val="false"/>
          <w:i w:val="false"/>
          <w:color w:val="000000"/>
          <w:sz w:val="22"/>
        </w:rPr>
        <w:t>H20. Critical Infrastructure Compliance</w:t>
      </w:r>
    </w:p>
    <w:p>
      <w:pPr>
        <w:pBdr>
          <w:top w:space="5"/>
          <w:left w:space="5"/>
          <w:bottom w:space="5"/>
          <w:right w:space="5"/>
        </w:pBdr>
        <w:spacing w:after="0"/>
        <w:ind w:left="225"/>
        <w:jc w:val="left"/>
      </w:pPr>
      <w:r>
        <w:rPr>
          <w:rFonts w:ascii="Times New Roman" w:hAnsi="Times New Roman"/>
          <w:b w:val="false"/>
          <w:i w:val="false"/>
          <w:color w:val="000000"/>
          <w:sz w:val="22"/>
        </w:rPr>
        <w:t>H21. Approved Products List</w:t>
      </w:r>
    </w:p>
    <w:p>
      <w:pPr>
        <w:pBdr>
          <w:top w:space="5"/>
          <w:left w:space="5"/>
          <w:bottom w:space="5"/>
          <w:right w:space="5"/>
        </w:pBdr>
        <w:spacing w:after="0"/>
        <w:ind w:left="585"/>
        <w:jc w:val="left"/>
      </w:pPr>
      <w:r>
        <w:rPr>
          <w:rFonts w:ascii="Times New Roman" w:hAnsi="Times New Roman"/>
          <w:b w:val="false"/>
          <w:i w:val="false"/>
          <w:color w:val="000000"/>
          <w:sz w:val="22"/>
        </w:rPr>
        <w:t>b. Proposed new repetitive use of substantially-the-same-as clauses that do not constitute a deviation from the FAR or DFARS, but requires the approval of OUSD (A&amp;S) DPC through the rule-making process will be submitted for review by the PL21 Contract Policy Branch and Office of General Counsel for approval by the Head of the Contracting Activity. The reviews are to ensure the clauses do not contain material differences from those already authorized for use and that circumstances for use of the provisions and clauses are appropriate. These provisions and clauses will be included in the (DARS.</w:t>
      </w:r>
    </w:p>
    <w:p>
      <w:pPr>
        <w:pBdr>
          <w:top w:space="5"/>
          <w:left w:space="5"/>
          <w:bottom w:space="5"/>
          <w:right w:space="5"/>
        </w:pBdr>
        <w:spacing w:after="0"/>
        <w:ind w:left="585"/>
        <w:jc w:val="left"/>
      </w:pPr>
      <w:r>
        <w:rPr>
          <w:rFonts w:ascii="Times New Roman" w:hAnsi="Times New Roman"/>
          <w:b w:val="false"/>
          <w:i w:val="false"/>
          <w:color w:val="000000"/>
          <w:sz w:val="22"/>
        </w:rPr>
        <w:t>c. Proposed tailoring of clauses, use of alternates, and authorized deviations will be reviewed on a case-by-case basis by the Contracting Officer, cognizant CoCO and HCO, PL21 Contract Policy Branch, and the DISA Office of General Counsel to ensure proper use and that the alternate language is authorized prior to being included in solicitations and contracts.</w:t>
      </w:r>
    </w:p>
    <w:p>
      <w:pPr>
        <w:pBdr>
          <w:top w:space="5"/>
          <w:left w:space="5"/>
          <w:bottom w:space="5"/>
          <w:right w:space="5"/>
        </w:pBdr>
        <w:spacing w:after="0"/>
        <w:ind w:left="585"/>
        <w:jc w:val="left"/>
      </w:pPr>
      <w:r>
        <w:rPr>
          <w:rFonts w:ascii="Times New Roman" w:hAnsi="Times New Roman"/>
          <w:b w:val="false"/>
          <w:i w:val="false"/>
          <w:color w:val="000000"/>
          <w:sz w:val="22"/>
        </w:rPr>
        <w:t>d. Proposed tailoring by the contracting officer of the commercial item provision at FAR 52.212-1, Instructions to Offerors - Commercial Items and the clause at FAR 52.212-4 Contract Terms and Conditions-Commercial Items (with certain limitations) to adapt to market conditions after conducting market research will be reviewed by the Office of General Counsel for actions that exceed the Simplified Acquisition Threshold. Tailoring inconsistent with customary practice must be approved by Head of the Contracting Activity waiver.</w:t>
      </w:r>
    </w:p>
    <w:p>
      <w:pPr>
        <w:pBdr>
          <w:top w:space="5"/>
          <w:left w:space="5"/>
          <w:bottom w:space="5"/>
          <w:right w:space="5"/>
        </w:pBdr>
        <w:spacing w:after="0"/>
        <w:ind w:left="585"/>
        <w:jc w:val="left"/>
      </w:pPr>
      <w:r>
        <w:rPr>
          <w:rFonts w:ascii="Times New Roman" w:hAnsi="Times New Roman"/>
          <w:b w:val="false"/>
          <w:i w:val="false"/>
          <w:color w:val="000000"/>
          <w:sz w:val="22"/>
        </w:rPr>
        <w:t>e. Contracting officers outside the United States may deviate from prescribed non-statutory FAR and DFARS clauses when contracting with governments of NATO countries NATO organizations and such governments or organizations, and/or the United Nations who will not agree to the standard clauses. The HeadCoCO and HCO shall maintain a record of all such deviations.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6. </w:t>
      </w:r>
      <w:r>
        <w:rPr>
          <w:rFonts w:ascii="Times New Roman" w:hAnsi="Times New Roman"/>
          <w:b w:val="false"/>
          <w:i w:val="false"/>
          <w:color w:val="000000"/>
          <w:sz w:val="22"/>
          <w:u w:val="single"/>
        </w:rPr>
        <w:t>Clause Numbering</w:t>
      </w:r>
    </w:p>
    <w:p>
      <w:pPr>
        <w:pBdr>
          <w:top w:space="5"/>
          <w:left w:space="5"/>
          <w:bottom w:space="5"/>
          <w:right w:space="5"/>
        </w:pBdr>
        <w:spacing w:after="0"/>
        <w:ind w:left="585"/>
        <w:jc w:val="left"/>
      </w:pPr>
      <w:r>
        <w:rPr>
          <w:rFonts w:ascii="Times New Roman" w:hAnsi="Times New Roman"/>
          <w:b w:val="false"/>
          <w:i w:val="false"/>
          <w:color w:val="000000"/>
          <w:sz w:val="22"/>
        </w:rPr>
        <w:t>a. All clauses included in solicitations and contracts must adhere to the numbering and identification requirements of FAR Subpart 52.1, as supplemented by DFARS Subpart 252.1.</w:t>
      </w:r>
    </w:p>
    <w:p>
      <w:pPr>
        <w:pBdr>
          <w:top w:space="5"/>
          <w:left w:space="5"/>
          <w:bottom w:space="5"/>
          <w:right w:space="5"/>
        </w:pBdr>
        <w:spacing w:after="0"/>
        <w:ind w:left="585"/>
        <w:jc w:val="left"/>
      </w:pPr>
      <w:r>
        <w:rPr>
          <w:rFonts w:ascii="Times New Roman" w:hAnsi="Times New Roman"/>
          <w:b w:val="false"/>
          <w:i w:val="false"/>
          <w:color w:val="000000"/>
          <w:sz w:val="22"/>
        </w:rPr>
        <w:t>b. Provisions or clauses authorized for one-time use do not have to be numbered; however, they must be identified in accordance with FAR 52.103 by title, date, and name of the contracting office that developed the provision or clause.</w:t>
      </w:r>
    </w:p>
    <w:p>
      <w:pPr>
        <w:pBdr>
          <w:top w:space="5"/>
          <w:left w:space="5"/>
          <w:bottom w:space="5"/>
          <w:right w:space="5"/>
        </w:pBdr>
        <w:spacing w:after="0"/>
        <w:ind w:left="225"/>
        <w:jc w:val="left"/>
      </w:pPr>
      <w:r>
        <w:rPr>
          <w:rFonts w:ascii="Times New Roman" w:hAnsi="Times New Roman"/>
          <w:b w:val="false"/>
          <w:i w:val="false"/>
          <w:color w:val="000000"/>
          <w:sz w:val="22"/>
        </w:rPr>
        <w:t xml:space="preserve">7. </w:t>
      </w:r>
      <w:r>
        <w:rPr>
          <w:rFonts w:ascii="Times New Roman" w:hAnsi="Times New Roman"/>
          <w:b w:val="false"/>
          <w:i w:val="false"/>
          <w:color w:val="000000"/>
          <w:sz w:val="22"/>
          <w:u w:val="single"/>
        </w:rPr>
        <w:t>Controls</w:t>
      </w:r>
    </w:p>
    <w:p>
      <w:pPr>
        <w:pBdr>
          <w:top w:space="5"/>
          <w:left w:space="5"/>
          <w:bottom w:space="5"/>
          <w:right w:space="5"/>
        </w:pBdr>
        <w:spacing w:after="0"/>
        <w:ind w:left="585"/>
        <w:jc w:val="left"/>
      </w:pPr>
      <w:r>
        <w:rPr>
          <w:rFonts w:ascii="Times New Roman" w:hAnsi="Times New Roman"/>
          <w:b w:val="false"/>
          <w:i w:val="false"/>
          <w:color w:val="000000"/>
          <w:sz w:val="22"/>
        </w:rPr>
        <w:t>a. This plan shall be reviewed annually and updated as required to reflect changes in policy or procedures. When updated, a copy will be provided to the DAR Council Director for review and processing to OUSD (A&amp;S) DPC for approval.</w:t>
      </w:r>
    </w:p>
    <w:p>
      <w:pPr>
        <w:pBdr>
          <w:top w:space="5"/>
          <w:left w:space="5"/>
          <w:bottom w:space="5"/>
          <w:right w:space="5"/>
        </w:pBdr>
        <w:spacing w:after="0"/>
        <w:ind w:left="585"/>
        <w:jc w:val="left"/>
      </w:pPr>
      <w:r>
        <w:rPr>
          <w:rFonts w:ascii="Times New Roman" w:hAnsi="Times New Roman"/>
          <w:b w:val="false"/>
          <w:i w:val="false"/>
          <w:color w:val="000000"/>
          <w:sz w:val="22"/>
        </w:rPr>
        <w:t>b. Copies of all Agency supplemental clauses will be provided to the PL21 Contract Policy Branch for review and consideration for inclusion in agency-level acquisition regulations for use on an agency-wide basis.</w:t>
      </w:r>
    </w:p>
    <w:p>
      <w:pPr>
        <w:pBdr>
          <w:top w:space="5"/>
          <w:left w:space="5"/>
          <w:bottom w:space="5"/>
          <w:right w:space="5"/>
        </w:pBdr>
        <w:spacing w:after="0"/>
        <w:ind w:left="225"/>
        <w:jc w:val="left"/>
      </w:pPr>
      <w:r>
        <w:rPr>
          <w:rFonts w:ascii="Times New Roman" w:hAnsi="Times New Roman"/>
          <w:b w:val="false"/>
          <w:i w:val="false"/>
          <w:color w:val="000000"/>
          <w:sz w:val="22"/>
        </w:rPr>
        <w:t xml:space="preserve">8. </w:t>
      </w:r>
      <w:r>
        <w:rPr>
          <w:rFonts w:ascii="Times New Roman" w:hAnsi="Times New Roman"/>
          <w:b w:val="false"/>
          <w:i w:val="false"/>
          <w:color w:val="000000"/>
          <w:sz w:val="22"/>
          <w:u w:val="single"/>
        </w:rPr>
        <w:t>Focal Point</w:t>
      </w:r>
    </w:p>
    <w:p>
      <w:pPr>
        <w:pBdr>
          <w:top w:space="5"/>
          <w:left w:space="5"/>
          <w:bottom w:space="5"/>
          <w:right w:space="5"/>
        </w:pBdr>
        <w:spacing w:after="0"/>
        <w:ind w:left="225"/>
        <w:jc w:val="left"/>
      </w:pPr>
      <w:r>
        <w:rPr>
          <w:rFonts w:ascii="Times New Roman" w:hAnsi="Times New Roman"/>
          <w:b w:val="false"/>
          <w:i w:val="false"/>
          <w:color w:val="000000"/>
          <w:sz w:val="22"/>
        </w:rPr>
        <w:t>The HCA is the focal point for resolution of internal or public inquiries on authority for use of deviations, unique or special requirements, clauses, and supplemental clauses.</w:t>
      </w:r>
    </w:p>
    <w:sectPr>
      <w:pgSz w:w="12240" w:h="15840" w:code="1"/>
      <w:pgMar w:top="1440" w:right="1440" w:bottom="1440" w:left="1440"/>
      <w:pgNumType w:start="1"/>
      <w:footerReference w:type="default" r:id="Rd277c5d8eb7849ac"/>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d277c5d8eb7849ac" /><Relationship Type="http://schemas.openxmlformats.org/officeDocument/2006/relationships/hyperlink" Target="https://www.ditco.disa.mil/DITCOContractingTemplates/" TargetMode="External" Id="R2955c7661a5c4cf1" /><Relationship Type="http://schemas.openxmlformats.org/officeDocument/2006/relationships/hyperlink" Target="https://www.ditco.disa.mil/DITCOContractingTemplates/" TargetMode="External" Id="R358403f9f0984c94" /><Relationship Type="http://schemas.openxmlformats.org/officeDocument/2006/relationships/hyperlink" Target="https://www.ditco.disa.mil/DITCOContractingTemplates/" TargetMode="External" Id="R810fb60376494c87" /><Relationship Type="http://schemas.openxmlformats.org/officeDocument/2006/relationships/hyperlink" Target="https://www.ditco.disa.mil/DITCOContractingTemplates/" TargetMode="External" Id="R9e5d21b2034945d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