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ARS_SUBPART_1.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ARS_1.101">
        <w:r>
          <w:rPr>
            <w:rStyle w:val="Hyperlink"/>
            <w:rFonts w:ascii="Times New Roman" w:hAnsi="Times New Roman"/>
            <w:b w:val="false"/>
            <w:i w:val="false"/>
            <w:color w:val="0000ff"/>
            <w:sz w:val="22"/>
            <w:u w:val="single"/>
          </w:rPr>
          <w:t>1.101 Purpose.</w:t>
        </w:r>
      </w:hyperlink>
    </w:p>
    <w:p>
      <w:pPr>
        <w:spacing w:after="0"/>
        <w:jc w:val="left"/>
        <w:ind w:left="1440" w:hanging="360"/>
      </w:pPr>
      <w:hyperlink w:anchor="DARS_201.104">
        <w:r>
          <w:rPr>
            <w:rStyle w:val="Hyperlink"/>
            <w:rFonts w:ascii="Times New Roman" w:hAnsi="Times New Roman"/>
            <w:b w:val="false"/>
            <w:i w:val="false"/>
            <w:color w:val="0000ff"/>
            <w:sz w:val="22"/>
            <w:u w:val="single"/>
          </w:rPr>
          <w:t>201.104 Applicability.</w:t>
        </w:r>
      </w:hyperlink>
    </w:p>
    <w:p>
      <w:pPr>
        <w:spacing w:after="0"/>
        <w:jc w:val="left"/>
        <w:ind w:left="1440" w:hanging="360"/>
      </w:pPr>
      <w:hyperlink w:anchor="DARS_201.1053">
        <w:r>
          <w:rPr>
            <w:rStyle w:val="Hyperlink"/>
            <w:rFonts w:ascii="Times New Roman" w:hAnsi="Times New Roman"/>
            <w:b w:val="false"/>
            <w:i w:val="false"/>
            <w:color w:val="0000ff"/>
            <w:sz w:val="22"/>
            <w:u w:val="single"/>
          </w:rPr>
          <w:t>201.105-3 Copies.</w:t>
        </w:r>
      </w:hyperlink>
    </w:p>
    <w:p>
      <w:pPr>
        <w:spacing w:after="0"/>
        <w:jc w:val="left"/>
        <w:ind w:left="1440" w:hanging="360"/>
      </w:pPr>
      <w:hyperlink w:anchor="DARS_201.170">
        <w:r>
          <w:rPr>
            <w:rStyle w:val="Hyperlink"/>
            <w:rFonts w:ascii="Times New Roman" w:hAnsi="Times New Roman"/>
            <w:b w:val="false"/>
            <w:i w:val="false"/>
            <w:color w:val="0000ff"/>
            <w:sz w:val="22"/>
            <w:u w:val="single"/>
          </w:rPr>
          <w:t>201.170 Peer reviews.</w:t>
        </w:r>
      </w:hyperlink>
    </w:p>
    <w:p>
      <w:pPr>
        <w:spacing w:after="0"/>
        <w:jc w:val="left"/>
        <w:ind w:left="720" w:hanging="360"/>
      </w:pPr>
      <w:hyperlink w:anchor="DARS_SUBPART_1.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ARS_1.2011">
        <w:r>
          <w:rPr>
            <w:rStyle w:val="Hyperlink"/>
            <w:rFonts w:ascii="Times New Roman" w:hAnsi="Times New Roman"/>
            <w:b w:val="false"/>
            <w:i w:val="false"/>
            <w:color w:val="0000ff"/>
            <w:sz w:val="22"/>
            <w:u w:val="single"/>
          </w:rPr>
          <w:t>1.201-1 The two councils.</w:t>
        </w:r>
      </w:hyperlink>
    </w:p>
    <w:p>
      <w:pPr>
        <w:spacing w:after="0"/>
        <w:jc w:val="left"/>
        <w:ind w:left="1440" w:hanging="360"/>
      </w:pPr>
      <w:hyperlink w:anchor="DARS_201.20170">
        <w:r>
          <w:rPr>
            <w:rStyle w:val="Hyperlink"/>
            <w:rFonts w:ascii="Times New Roman" w:hAnsi="Times New Roman"/>
            <w:b w:val="false"/>
            <w:i w:val="false"/>
            <w:color w:val="0000ff"/>
            <w:sz w:val="22"/>
            <w:u w:val="single"/>
          </w:rPr>
          <w:t>201.201-70 Maintenance of Procedures, Guidance, and Information.</w:t>
        </w:r>
      </w:hyperlink>
    </w:p>
    <w:p>
      <w:pPr>
        <w:spacing w:after="0"/>
        <w:jc w:val="left"/>
        <w:ind w:left="720" w:hanging="360"/>
      </w:pPr>
      <w:hyperlink w:anchor="DARS_SUBPART_1.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ARS_201.301">
        <w:r>
          <w:rPr>
            <w:rStyle w:val="Hyperlink"/>
            <w:rFonts w:ascii="Times New Roman" w:hAnsi="Times New Roman"/>
            <w:b w:val="false"/>
            <w:i w:val="false"/>
            <w:color w:val="0000ff"/>
            <w:sz w:val="22"/>
            <w:u w:val="single"/>
          </w:rPr>
          <w:t>201.301 Policy.</w:t>
        </w:r>
      </w:hyperlink>
    </w:p>
    <w:p>
      <w:pPr>
        <w:spacing w:after="0"/>
        <w:jc w:val="left"/>
        <w:ind w:left="1440" w:hanging="360"/>
      </w:pPr>
      <w:hyperlink w:anchor="DARS_201.303">
        <w:r>
          <w:rPr>
            <w:rStyle w:val="Hyperlink"/>
            <w:rFonts w:ascii="Times New Roman" w:hAnsi="Times New Roman"/>
            <w:b w:val="false"/>
            <w:i w:val="false"/>
            <w:color w:val="0000ff"/>
            <w:sz w:val="22"/>
            <w:u w:val="single"/>
          </w:rPr>
          <w:t>201.303 Publication and codification.</w:t>
        </w:r>
      </w:hyperlink>
    </w:p>
    <w:p>
      <w:pPr>
        <w:spacing w:after="0"/>
        <w:jc w:val="left"/>
        <w:ind w:left="1440" w:hanging="360"/>
      </w:pPr>
      <w:hyperlink w:anchor="DARS_201.304">
        <w:r>
          <w:rPr>
            <w:rStyle w:val="Hyperlink"/>
            <w:rFonts w:ascii="Times New Roman" w:hAnsi="Times New Roman"/>
            <w:b w:val="false"/>
            <w:i w:val="false"/>
            <w:color w:val="0000ff"/>
            <w:sz w:val="22"/>
            <w:u w:val="single"/>
          </w:rPr>
          <w:t>201.304 Agency control and compliance procedures.</w:t>
        </w:r>
      </w:hyperlink>
    </w:p>
    <w:p>
      <w:pPr>
        <w:spacing w:after="0"/>
        <w:jc w:val="left"/>
        <w:ind w:left="720" w:hanging="360"/>
      </w:pPr>
      <w:hyperlink w:anchor="DARS_SUBPART_1.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ARS_201.403">
        <w:r>
          <w:rPr>
            <w:rStyle w:val="Hyperlink"/>
            <w:rFonts w:ascii="Times New Roman" w:hAnsi="Times New Roman"/>
            <w:b w:val="false"/>
            <w:i w:val="false"/>
            <w:color w:val="0000ff"/>
            <w:sz w:val="22"/>
            <w:u w:val="single"/>
          </w:rPr>
          <w:t>201.403 Individual deviations.</w:t>
        </w:r>
      </w:hyperlink>
    </w:p>
    <w:p>
      <w:pPr>
        <w:spacing w:after="0"/>
        <w:jc w:val="left"/>
        <w:ind w:left="720" w:hanging="360"/>
      </w:pPr>
      <w:hyperlink w:anchor="DARS_SUBPART_1.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ARS_1.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ARS_SUBPART_1.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ARS_201.6022">
        <w:r>
          <w:rPr>
            <w:rStyle w:val="Hyperlink"/>
            <w:rFonts w:ascii="Times New Roman" w:hAnsi="Times New Roman"/>
            <w:b w:val="false"/>
            <w:i w:val="false"/>
            <w:color w:val="0000ff"/>
            <w:sz w:val="22"/>
            <w:u w:val="single"/>
          </w:rPr>
          <w:t>201.602-2 Responsibilities.</w:t>
        </w:r>
      </w:hyperlink>
    </w:p>
    <w:p>
      <w:pPr>
        <w:spacing w:after="0"/>
        <w:jc w:val="left"/>
        <w:ind w:left="1440" w:hanging="360"/>
      </w:pPr>
      <w:hyperlink w:anchor="DARS_1.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ARS_1.603">
        <w:r>
          <w:rPr>
            <w:rStyle w:val="Hyperlink"/>
            <w:rFonts w:ascii="Times New Roman" w:hAnsi="Times New Roman"/>
            <w:b w:val="false"/>
            <w:i w:val="false"/>
            <w:color w:val="0000ff"/>
            <w:sz w:val="22"/>
            <w:u w:val="single"/>
          </w:rPr>
          <w:t>1.603 Selection, appointment, and termination of appointment for contracting officers.</w:t>
        </w:r>
      </w:hyperlink>
    </w:p>
    <w:p>
      <w:pPr>
        <w:spacing w:after="0"/>
        <w:jc w:val="left"/>
        <w:ind w:left="1440" w:hanging="360"/>
      </w:pPr>
      <w:hyperlink w:anchor="DARS_1.6031">
        <w:r>
          <w:rPr>
            <w:rStyle w:val="Hyperlink"/>
            <w:rFonts w:ascii="Times New Roman" w:hAnsi="Times New Roman"/>
            <w:b w:val="false"/>
            <w:i w:val="false"/>
            <w:color w:val="0000ff"/>
            <w:sz w:val="22"/>
            <w:u w:val="single"/>
          </w:rPr>
          <w:t>1.603-1 General.</w:t>
        </w:r>
      </w:hyperlink>
    </w:p>
    <w:p>
      <w:pPr>
        <w:spacing w:after="0"/>
        <w:jc w:val="left"/>
        <w:ind w:left="1440" w:hanging="360"/>
      </w:pPr>
      <w:hyperlink w:anchor="DARS_1.603190">
        <w:r>
          <w:rPr>
            <w:rStyle w:val="Hyperlink"/>
            <w:rFonts w:ascii="Times New Roman" w:hAnsi="Times New Roman"/>
            <w:b w:val="false"/>
            <w:i w:val="false"/>
            <w:color w:val="0000ff"/>
            <w:sz w:val="22"/>
            <w:u w:val="single"/>
          </w:rPr>
          <w:t>1.603-1-90 Ordering officers.</w:t>
        </w:r>
      </w:hyperlink>
    </w:p>
    <w:p>
      <w:pPr>
        <w:spacing w:after="0"/>
        <w:jc w:val="left"/>
        <w:ind w:left="1440" w:hanging="360"/>
      </w:pPr>
      <w:hyperlink w:anchor="DARS_1.604">
        <w:r>
          <w:rPr>
            <w:rStyle w:val="Hyperlink"/>
            <w:rFonts w:ascii="Times New Roman" w:hAnsi="Times New Roman"/>
            <w:b w:val="false"/>
            <w:i w:val="false"/>
            <w:color w:val="0000ff"/>
            <w:sz w:val="22"/>
            <w:u w:val="single"/>
          </w:rPr>
          <w:t>1.604 Contracting Officer’s Representative (COR).</w:t>
        </w:r>
      </w:hyperlink>
    </w:p>
    <w:p>
      <w:pPr>
        <w:spacing w:after="0"/>
        <w:jc w:val="left"/>
        <w:ind w:left="720" w:hanging="360"/>
      </w:pPr>
      <w:hyperlink w:anchor="DARS_SUBPART_1.90">
        <w:r>
          <w:rPr>
            <w:rStyle w:val="Hyperlink"/>
            <w:rFonts w:ascii="Times New Roman" w:hAnsi="Times New Roman"/>
            <w:b w:val="false"/>
            <w:i w:val="false"/>
            <w:color w:val="0000ff"/>
            <w:sz w:val="22"/>
            <w:u w:val="single"/>
          </w:rPr>
          <w:t>SUBPART 1.90 — PROCUREMENT OVERSIGHT</w:t>
        </w:r>
      </w:hyperlink>
    </w:p>
    <w:p>
      <w:pPr>
        <w:spacing w:after="0"/>
        <w:jc w:val="left"/>
        <w:ind w:left="1440" w:hanging="360"/>
      </w:pPr>
      <w:hyperlink w:anchor="DARS_1.9000">
        <w:r>
          <w:rPr>
            <w:rStyle w:val="Hyperlink"/>
            <w:rFonts w:ascii="Times New Roman" w:hAnsi="Times New Roman"/>
            <w:b w:val="false"/>
            <w:i w:val="false"/>
            <w:color w:val="0000ff"/>
            <w:sz w:val="22"/>
            <w:u w:val="single"/>
          </w:rPr>
          <w:t>1.9000 Review and approval of contract actions.</w:t>
        </w:r>
      </w:hyperlink>
    </w:p>
    <w:p>
      <w:pPr>
        <w:spacing w:after="0"/>
        <w:jc w:val="left"/>
        <w:ind w:left="1440" w:hanging="360"/>
      </w:pPr>
      <w:hyperlink w:anchor="DARS_1.9001">
        <w:r>
          <w:rPr>
            <w:rStyle w:val="Hyperlink"/>
            <w:rFonts w:ascii="Times New Roman" w:hAnsi="Times New Roman"/>
            <w:b w:val="false"/>
            <w:i w:val="false"/>
            <w:color w:val="0000ff"/>
            <w:sz w:val="22"/>
            <w:u w:val="single"/>
          </w:rPr>
          <w:t>1.9001 Procurement management reviews (PMR) and special interest reviews.</w:t>
        </w:r>
      </w:hyperlink>
    </w:p>
    <w:p>
      <w:pPr>
        <w:spacing w:after="0"/>
        <w:jc w:val="left"/>
        <w:ind w:left="1440" w:hanging="360"/>
      </w:pPr>
      <w:hyperlink w:anchor="DARS_1.9002">
        <w:r>
          <w:rPr>
            <w:rStyle w:val="Hyperlink"/>
            <w:rFonts w:ascii="Times New Roman" w:hAnsi="Times New Roman"/>
            <w:b w:val="false"/>
            <w:i w:val="false"/>
            <w:color w:val="0000ff"/>
            <w:sz w:val="22"/>
            <w:u w:val="single"/>
          </w:rPr>
          <w:t>1.9002 Contract document approval signature routing procedures.</w:t>
        </w:r>
      </w:hyperlink>
    </w:p>
    <!-- Created by docx4j 6.1.2 (Apache licensed) using REFERENCE JAXB in Oracle Java 15 on Linux -->
    <w:p>
      <w:pPr>
        <w:pStyle w:val="Heading2"/>
        <w:spacing w:after="180"/>
        <w:ind w:left="120"/>
        <w:jc w:val="center"/>
      </w:pPr>
      <w:bookmarkStart w:name="DARS_SUBPART_1.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spacing w:after="0"/>
        <w:ind w:left="120"/>
        <w:jc w:val="left"/>
      </w:pPr>
    </w:p>
    <!-- Created by docx4j 6.1.2 (Apache licensed) using REFERENCE JAXB in Oracle Java 15 on Linux -->
    <w:p>
      <w:pPr>
        <w:pStyle w:val="Heading3"/>
        <w:spacing w:after="199"/>
        <w:ind w:left="120"/>
        <w:jc w:val="left"/>
      </w:pPr>
      <w:bookmarkStart w:name="DARS_1.101" w:id="2"/>
      <w:r>
        <w:rPr>
          <w:rFonts w:ascii="Times New Roman" w:hAnsi="Times New Roman"/>
          <w:color w:val="000000"/>
          <w:sz w:val="31"/>
        </w:rPr>
        <w:t>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p>
    <!-- Created by docx4j 6.1.2 (Apache licensed) using REFERENCE JAXB in Oracle Java 15 on Linux -->
    <w:p>
      <w:pPr>
        <w:pStyle w:val="Heading3"/>
        <w:spacing w:after="199"/>
        <w:ind w:left="120"/>
        <w:jc w:val="left"/>
      </w:pPr>
      <w:bookmarkStart w:name="DARS_201.104" w:id="3"/>
      <w:r>
        <w:rPr>
          <w:rFonts w:ascii="Times New Roman" w:hAnsi="Times New Roman"/>
          <w:color w:val="000000"/>
          <w:sz w:val="31"/>
        </w:rPr>
        <w:t>201.104</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DARS applies to all acquisitions processed or managed by DISA, except where expressly excluded. Policies/procedures of non-DISA mission partners are acceptable as long as they comply with applicable laws and regulations. For example: Requirements office generated documents (e.g., acquisition plans, justifications and approvals) need not be in the DISA format, contain DISA supplemental information, etc.</w:t>
      </w:r>
    </w:p>
    <w:p>
      <w:pPr>
        <w:pBdr>
          <w:top w:space="5"/>
          <w:left w:space="5"/>
          <w:bottom w:space="5"/>
          <w:right w:space="5"/>
        </w:pBdr>
        <w:spacing w:after="0"/>
        <w:ind w:left="225"/>
        <w:jc w:val="left"/>
      </w:pPr>
      <w:r>
        <w:rPr>
          <w:rFonts w:ascii="Times New Roman" w:hAnsi="Times New Roman"/>
          <w:b w:val="false"/>
          <w:i w:val="false"/>
          <w:color w:val="000000"/>
          <w:sz w:val="22"/>
        </w:rPr>
        <w:t>DARS acquisition and procurement process oversight policies are not applicable to external mission partners.</w:t>
      </w:r>
    </w:p>
    <!-- Created by docx4j 6.1.2 (Apache licensed) using REFERENCE JAXB in Oracle Java 15 on Linux -->
    <w:p>
      <w:pPr>
        <w:pStyle w:val="Heading3"/>
        <w:spacing w:after="199"/>
        <w:ind w:left="120"/>
        <w:jc w:val="left"/>
      </w:pPr>
      <w:bookmarkStart w:name="DARS_201.1053" w:id="4"/>
      <w:r>
        <w:rPr>
          <w:rFonts w:ascii="Times New Roman" w:hAnsi="Times New Roman"/>
          <w:color w:val="000000"/>
          <w:sz w:val="31"/>
        </w:rPr>
        <w:t>201.105-3</w:t>
      </w:r>
      <w:r>
        <w:rPr>
          <w:rFonts w:ascii="Times New Roman" w:hAnsi="Times New Roman"/>
          <w:color w:val="000000"/>
          <w:sz w:val="31"/>
        </w:rPr>
        <w:t xml:space="preserve"> Copies.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Copies of the DARS and associated acquisition policies and procedures are available electronically via the DISA Acquisition Policy and Guidance web site: </w:t>
      </w:r>
      <w:hyperlink r:id="R26ba854b923c42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201.170" w:id="5"/>
      <w:r>
        <w:rPr>
          <w:rFonts w:ascii="Times New Roman" w:hAnsi="Times New Roman"/>
          <w:color w:val="000000"/>
          <w:sz w:val="31"/>
        </w:rPr>
        <w:t>201.170</w:t>
      </w:r>
      <w:r>
        <w:rPr>
          <w:rFonts w:ascii="Times New Roman" w:hAnsi="Times New Roman"/>
          <w:color w:val="000000"/>
          <w:sz w:val="31"/>
        </w:rPr>
        <w:t xml:space="preserve"> Peer reviews.</w:t>
      </w:r>
      <w:bookmarkEnd w:id="5"/>
    </w:p>
    <w:p>
      <w:pPr>
        <w:pBdr>
          <w:top w:space="5"/>
          <w:left w:space="5"/>
          <w:bottom w:space="5"/>
          <w:right w:space="5"/>
        </w:pBdr>
        <w:spacing w:after="0"/>
        <w:ind w:left="225"/>
        <w:jc w:val="left"/>
      </w:pPr>
      <w:r>
        <w:rPr>
          <w:rFonts w:ascii="Times New Roman" w:hAnsi="Times New Roman"/>
          <w:b w:val="false"/>
          <w:i/>
          <w:color w:val="000000"/>
          <w:sz w:val="22"/>
        </w:rPr>
        <w:t>(a) DoD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(1)(i) </w:t>
      </w:r>
      <w:r>
        <w:rPr>
          <w:rFonts w:ascii="Times New Roman" w:hAnsi="Times New Roman"/>
          <w:b w:val="false"/>
          <w:i/>
          <w:color w:val="000000"/>
          <w:sz w:val="22"/>
        </w:rPr>
        <w:t>Preaward</w:t>
      </w:r>
      <w:r>
        <w:rPr>
          <w:rFonts w:ascii="Times New Roman" w:hAnsi="Times New Roman"/>
          <w:b w:val="false"/>
          <w:i/>
          <w:color w:val="000000"/>
          <w:sz w:val="22"/>
        </w:rPr>
        <w:t>peer reviews for competitive procurements</w:t>
      </w:r>
      <w:r>
        <w:rPr>
          <w:rFonts w:ascii="Times New Roman" w:hAnsi="Times New Roman"/>
          <w:b w:val="false"/>
          <w:i w:val="false"/>
          <w:color w:val="000000"/>
          <w:sz w:val="22"/>
        </w:rPr>
        <w:t xml:space="preserve">. Per </w:t>
      </w:r>
      <w:hyperlink r:id="R33dbfca6bdb549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2021-O00107</w:t>
        </w:r>
      </w:hyperlink>
      <w:r>
        <w:rPr>
          <w:rFonts w:ascii="Times New Roman" w:hAnsi="Times New Roman"/>
          <w:b w:val="false"/>
          <w:i w:val="false"/>
          <w:color w:val="000000"/>
          <w:sz w:val="22"/>
        </w:rPr>
        <w:t xml:space="preserve">, Defense Pricing and Contracting (DPC) will conduct preaward peer reviews for competitive procurements with an estimated value of $1 billion or more for all procurements under major defense acquisition programs for which the Under Secretary of Defense for Acquisition and Sustainment (USD(A&amp;S)) is the milestone decision authority. Additionally, preaward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 Director, Contract Policy. DoD policy for peer reviews was established by the memorandum “Peer Reviews of Contracts for Supplies and Services,” dated September 29, 2008, available at </w:t>
      </w:r>
      <w:hyperlink r:id="R9a335ae4ea5c49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https://www.acq.osd.mil/dpap/policy/policyvault/USA000820-08-DPAP.pdf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Preaward</w:t>
      </w:r>
      <w:r>
        <w:rPr>
          <w:rFonts w:ascii="Times New Roman" w:hAnsi="Times New Roman"/>
          <w:b w:val="false"/>
          <w:i/>
          <w:color w:val="000000"/>
          <w:sz w:val="22"/>
        </w:rPr>
        <w:t>peer reviews for</w:t>
      </w:r>
      <w:r>
        <w:rPr>
          <w:rFonts w:ascii="Times New Roman" w:hAnsi="Times New Roman"/>
          <w:b w:val="false"/>
          <w:i/>
          <w:color w:val="000000"/>
          <w:sz w:val="22"/>
        </w:rPr>
        <w:t>noncompetitive procurements.</w:t>
      </w:r>
      <w:r>
        <w:rPr>
          <w:rFonts w:ascii="Times New Roman" w:hAnsi="Times New Roman"/>
          <w:b w:val="false"/>
          <w:i w:val="false"/>
          <w:color w:val="000000"/>
          <w:sz w:val="22"/>
        </w:rPr>
        <w:t xml:space="preserve"> Per Class Deviation 2021-O0007, Preaward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w:pPr>
        <w:pBdr>
          <w:top w:space="5"/>
          <w:left w:space="5"/>
          <w:bottom w:space="5"/>
          <w:right w:space="5"/>
        </w:pBdr>
        <w:spacing w:after="0"/>
        <w:ind w:left="22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Postaward</w:t>
      </w:r>
      <w:r>
        <w:rPr>
          <w:rFonts w:ascii="Times New Roman" w:hAnsi="Times New Roman"/>
          <w:b w:val="false"/>
          <w:i/>
          <w:color w:val="000000"/>
          <w:sz w:val="22"/>
        </w:rPr>
        <w:t>peer reviews for</w:t>
      </w:r>
      <w:r>
        <w:rPr>
          <w:rFonts w:ascii="Times New Roman" w:hAnsi="Times New Roman"/>
          <w:b w:val="false"/>
          <w:i/>
          <w:color w:val="000000"/>
          <w:sz w:val="22"/>
        </w:rPr>
        <w:t>acquisition of services valued at $1 billion or more</w:t>
      </w:r>
      <w:r>
        <w:rPr>
          <w:rFonts w:ascii="Times New Roman" w:hAnsi="Times New Roman"/>
          <w:b w:val="false"/>
          <w:i w:val="false"/>
          <w:color w:val="000000"/>
          <w:sz w:val="22"/>
        </w:rPr>
        <w:t>. Per Class Deviation 2021-O0007, DPC will not conduct postaward peer reviews for acquisitions of services with a total estimated value greater than $1 billion as required by DFARS 201.170(a)(1)(iii).</w:t>
      </w:r>
    </w:p>
    <w:p>
      <w:pPr>
        <w:pBdr>
          <w:top w:space="5"/>
          <w:left w:space="5"/>
          <w:bottom w:space="5"/>
          <w:right w:space="5"/>
        </w:pBdr>
        <w:spacing w:after="0"/>
        <w:ind w:left="225"/>
        <w:jc w:val="left"/>
      </w:pPr>
      <w:r>
        <w:rPr>
          <w:rFonts w:ascii="Times New Roman" w:hAnsi="Times New Roman"/>
          <w:b w:val="false"/>
          <w:i/>
          <w:color w:val="000000"/>
          <w:sz w:val="22"/>
        </w:rPr>
        <w:t>(b) Component (DISA) peer reviews (if a DPC Peer Review is not conducted).</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Preaward peer reviews for competitive procurements valued at $500 million or more and noncompetitive procurements valued at $500 million or more but less than $1 billion</w:t>
      </w:r>
      <w:r>
        <w:rPr>
          <w:rFonts w:ascii="Times New Roman" w:hAnsi="Times New Roman"/>
          <w:b w:val="false"/>
          <w:i w:val="false"/>
          <w:color w:val="000000"/>
          <w:sz w:val="22"/>
        </w:rPr>
        <w:t>. The DISA Contracting Peer Review/Independent Management Review Program establishes policy and procedures for conducting peer reviews of all solicitations with a total estimated contract value (including options) of $500 million or more.</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Preaward peer reviews for procurements valued below $500 million.</w:t>
      </w:r>
      <w:r>
        <w:rPr>
          <w:rFonts w:ascii="Times New Roman" w:hAnsi="Times New Roman"/>
          <w:b w:val="false"/>
          <w:i w:val="false"/>
          <w:color w:val="000000"/>
          <w:sz w:val="22"/>
        </w:rPr>
        <w:t xml:space="preserve"> CoCOs are encouraged to request inter-DITCO and intra-DITCO pre-solicitation peer reviews below $500M. Inter-DITCO peer reviews will be managed by PL22. Intra-DITCO peer reviews will be managed by the respective CoCO and results will be provided to PL22 (for tracking the conduct of the review and trends).</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Postaward peer reviews of all contracts for services valued at less than $1 billion.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Independent management reviews</w:t>
      </w:r>
      <w:r>
        <w:rPr>
          <w:rFonts w:ascii="Times New Roman" w:hAnsi="Times New Roman"/>
          <w:b w:val="false"/>
          <w:i/>
          <w:color w:val="000000"/>
          <w:sz w:val="22"/>
        </w:rPr>
        <w:t>for</w:t>
      </w:r>
      <w:r>
        <w:rPr>
          <w:rFonts w:ascii="Times New Roman" w:hAnsi="Times New Roman"/>
          <w:b w:val="false"/>
          <w:i/>
          <w:color w:val="000000"/>
          <w:sz w:val="22"/>
        </w:rPr>
        <w:t>contracts for services valued at $500 million or more</w:t>
      </w:r>
      <w:r>
        <w:rPr>
          <w:rFonts w:ascii="Times New Roman" w:hAnsi="Times New Roman"/>
          <w:b w:val="false"/>
          <w:i w:val="false"/>
          <w:color w:val="000000"/>
          <w:sz w:val="22"/>
        </w:rPr>
        <w:t>. The DISA Contracting Peer Review/Independent Management Review Program establishes policy and procedures for conducting independent management reviews of all contracts for services with a total estimated contract value (including options) of $500 million or more in accordance with section 808 of the National Defense Authorization Act for Fiscal Year 2008 (Pub. L. 110-181).</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Objective.</w:t>
      </w:r>
      <w:r>
        <w:rPr>
          <w:rFonts w:ascii="Times New Roman" w:hAnsi="Times New Roman"/>
          <w:b w:val="false"/>
          <w:i w:val="false"/>
          <w:color w:val="000000"/>
          <w:sz w:val="22"/>
        </w:rPr>
        <w:t xml:space="preserve"> The objective of the DISA Contracting Peer Review/Independent Management Review Program is to (1) ensure that contracting officer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cc5288f5634c40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2021-O0007 - Peer Reviews of Acquisitions for Supplies and Services</w:t>
        </w:r>
      </w:hyperlink>
      <w:r>
        <w:rPr>
          <w:rFonts w:ascii="Times New Roman" w:hAnsi="Times New Roman"/>
          <w:b w:val="false"/>
          <w:i w:val="false"/>
          <w:color w:val="000000"/>
          <w:sz w:val="22"/>
        </w:rPr>
        <w:t xml:space="preserve"> dated June 25, 2021.</w:t>
      </w:r>
    </w:p>
    <w:p>
      <w:pPr>
        <w:pBdr>
          <w:top w:space="5"/>
          <w:left w:space="5"/>
          <w:bottom w:space="5"/>
          <w:right w:space="5"/>
        </w:pBdr>
        <w:spacing w:after="0"/>
        <w:ind w:left="225"/>
        <w:jc w:val="left"/>
      </w:pPr>
      <w:r>
        <w:rPr>
          <w:rFonts w:ascii="Times New Roman" w:hAnsi="Times New Roman"/>
          <w:b w:val="false"/>
          <w:i w:val="false"/>
          <w:color w:val="000000"/>
          <w:sz w:val="22"/>
        </w:rPr>
        <w:t>(i) Pre-award Peer Reviews of solicitations shall be conducted for procurements ($500M or above, but less than $1B) prior to issuance of the solicitation (pre-solicitation).</w:t>
      </w:r>
    </w:p>
    <w:p>
      <w:pPr>
        <w:pBdr>
          <w:top w:space="5"/>
          <w:left w:space="5"/>
          <w:bottom w:space="5"/>
          <w:right w:space="5"/>
        </w:pBdr>
        <w:spacing w:after="0"/>
        <w:ind w:left="225"/>
        <w:jc w:val="left"/>
      </w:pPr>
      <w:r>
        <w:rPr>
          <w:rFonts w:ascii="Times New Roman" w:hAnsi="Times New Roman"/>
          <w:b w:val="false"/>
          <w:i w:val="false"/>
          <w:color w:val="000000"/>
          <w:sz w:val="22"/>
        </w:rPr>
        <w:t>(ii) Independent Management Reviewsof contracts for services shall be conducted at the following decision points:</w:t>
      </w:r>
    </w:p>
    <w:p>
      <w:pPr>
        <w:pBdr>
          <w:top w:space="5"/>
          <w:left w:space="5"/>
          <w:bottom w:space="5"/>
          <w:right w:space="5"/>
        </w:pBdr>
        <w:spacing w:after="0"/>
        <w:ind w:left="225"/>
        <w:jc w:val="left"/>
      </w:pPr>
      <w:r>
        <w:rPr>
          <w:rFonts w:ascii="Times New Roman" w:hAnsi="Times New Roman"/>
          <w:b w:val="false"/>
          <w:i w:val="false"/>
          <w:color w:val="000000"/>
          <w:sz w:val="22"/>
        </w:rPr>
        <w:t>(A) Mid-point of the initial (base) performance period if in excess of three years; and</w:t>
      </w:r>
    </w:p>
    <w:p>
      <w:pPr>
        <w:pBdr>
          <w:top w:space="5"/>
          <w:left w:space="5"/>
          <w:bottom w:space="5"/>
          <w:right w:space="5"/>
        </w:pBdr>
        <w:spacing w:after="0"/>
        <w:ind w:left="225"/>
        <w:jc w:val="left"/>
      </w:pPr>
      <w:r>
        <w:rPr>
          <w:rFonts w:ascii="Times New Roman" w:hAnsi="Times New Roman"/>
          <w:b w:val="false"/>
          <w:i w:val="false"/>
          <w:color w:val="000000"/>
          <w:sz w:val="22"/>
        </w:rPr>
        <w:t>(B) Prior to exercising the first option period of performance and every other option period thereafter (e.g., OP1, OP3, OP5).</w:t>
      </w:r>
    </w:p>
    <w:p>
      <w:pPr>
        <w:pBdr>
          <w:top w:space="5"/>
          <w:left w:space="5"/>
          <w:bottom w:space="5"/>
          <w:right w:space="5"/>
        </w:pBdr>
        <w:spacing w:after="0"/>
        <w:ind w:left="225"/>
        <w:jc w:val="left"/>
      </w:pPr>
      <w:r>
        <w:rPr>
          <w:rFonts w:ascii="Times New Roman" w:hAnsi="Times New Roman"/>
          <w:b w:val="false"/>
          <w:i w:val="false"/>
          <w:color w:val="000000"/>
          <w:sz w:val="22"/>
        </w:rPr>
        <w:t>All peer review/independent management review documentation shall be marked as “Source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Table 1-1</w:t>
      </w:r>
      <w:r>
        <w:rPr>
          <w:rFonts w:ascii="Times New Roman" w:hAnsi="Times New Roman"/>
          <w:b/>
          <w:i w:val="false"/>
          <w:color w:val="000000"/>
          <w:sz w:val="22"/>
        </w:rPr>
        <w:t>Peer Review/Independent Management Review</w:t>
      </w:r>
      <w:r>
        <w:rPr>
          <w:rFonts w:ascii="Times New Roman" w:hAnsi="Times New Roman"/>
          <w:b/>
          <w:i w:val="false"/>
          <w:color w:val="000000"/>
          <w:sz w:val="22"/>
        </w:rPr>
        <w:t>Thresholds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w:t>
            </w:r>
            <w:r>
              <w:rPr>
                <w:rFonts w:ascii="Times New Roman" w:hAnsi="Times New Roman"/>
                <w:b/>
                <w:i w:val="false"/>
                <w:color w:val="000000"/>
                <w:sz w:val="22"/>
              </w:rPr>
              <w:t>Type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r>
              <w:rPr>
                <w:rFonts w:ascii="Times New Roman" w:hAnsi="Times New Roman"/>
                <w:b/>
                <w:i w:val="false"/>
                <w:color w:val="000000"/>
                <w:sz w:val="22"/>
              </w:rPr>
              <w: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Reviewer</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33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Competitive under major defense acquisition programs when USD(A&amp;S) is MDA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Noncompetitive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 to $1B</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r>
        <w:trPr>
          <w:trHeight w:val="106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management reviews for contracts for services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DISA</w:t>
            </w:r>
          </w:p>
        </w:tc>
      </w:tr>
    </w:tbl>
    <w:p>
      <w:pPr>
        <w:pBdr>
          <w:top w:space="5"/>
          <w:left w:space="5"/>
          <w:bottom w:space="5"/>
          <w:right w:space="5"/>
        </w:pBdr>
        <w:spacing w:after="0"/>
        <w:ind w:left="225"/>
        <w:jc w:val="left"/>
      </w:pPr>
      <w:r>
        <w:rPr>
          <w:rFonts w:ascii="Times New Roman" w:hAnsi="Times New Roman"/>
          <w:b w:val="false"/>
          <w:i w:val="false"/>
          <w:color w:val="000000"/>
          <w:sz w:val="22"/>
        </w:rPr>
        <w:t>*Note: See DARS 201.170 for additional reviews that may be accomplished under these dollar thresholds.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Peer Review Timelines/Procurement Action Lead Times (PALT)</w:t>
      </w:r>
      <w:r>
        <w:rPr>
          <w:rFonts w:ascii="Times New Roman" w:hAnsi="Times New Roman"/>
          <w:b w:val="false"/>
          <w:i w:val="false"/>
          <w:color w:val="000000"/>
          <w:sz w:val="22"/>
        </w:rPr>
        <w:t>. See DARS PGI.</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Waivers.</w:t>
      </w:r>
      <w:r>
        <w:rPr>
          <w:rFonts w:ascii="Times New Roman" w:hAnsi="Times New Roman"/>
          <w:b w:val="false"/>
          <w:i w:val="false"/>
          <w:color w:val="000000"/>
          <w:sz w:val="22"/>
        </w:rPr>
        <w:t xml:space="preserve"> If critical mission performance circumstances necessitate the request of a waiver, a “Request for Peer Review/Independent Management Review Waiver” can be found at </w:t>
      </w:r>
      <w:hyperlink r:id="Reeb4b3dea49145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https://www.ditco.disa.mil/hq/peerreview.asp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Procedures.</w:t>
      </w:r>
      <w:r>
        <w:rPr>
          <w:rFonts w:ascii="Times New Roman" w:hAnsi="Times New Roman"/>
          <w:b w:val="false"/>
          <w:i w:val="false"/>
          <w:color w:val="000000"/>
          <w:sz w:val="22"/>
        </w:rPr>
        <w:t xml:space="preserve"> See DARS PGI.</w:t>
      </w:r>
    </w:p>
    <!-- Created by docx4j 6.1.2 (Apache licensed) using REFERENCE JAXB in Oracle Java 15 on Linux -->
    <w:p>
      <w:pPr>
        <w:pStyle w:val="Heading2"/>
        <w:spacing w:after="180"/>
        <w:ind w:left="120"/>
        <w:jc w:val="center"/>
      </w:pPr>
      <w:bookmarkStart w:name="DARS_SUBPART_1.2" w:id="6"/>
      <w:r>
        <w:rPr>
          <w:rFonts w:ascii="Times New Roman" w:hAnsi="Times New Roman"/>
          <w:color w:val="000000"/>
          <w:sz w:val="36"/>
        </w:rPr>
        <w:t>SUBPART 1.2</w:t>
      </w:r>
      <w:r>
        <w:rPr>
          <w:rFonts w:ascii="Times New Roman" w:hAnsi="Times New Roman"/>
          <w:color w:val="000000"/>
          <w:sz w:val="36"/>
        </w:rPr>
        <w:t xml:space="preserve"> — ADMINISTRATION</w:t>
      </w:r>
      <w:bookmarkEnd w:id="6"/>
    </w:p>
    <w:p>
      <w:pPr>
        <w:spacing w:after="0"/>
        <w:ind w:left="120"/>
        <w:jc w:val="left"/>
      </w:pPr>
    </w:p>
    <!-- Created by docx4j 6.1.2 (Apache licensed) using REFERENCE JAXB in Oracle Java 15 on Linux -->
    <w:p>
      <w:pPr>
        <w:pStyle w:val="Heading3"/>
        <w:spacing w:after="199"/>
        <w:ind w:left="120"/>
        <w:jc w:val="left"/>
      </w:pPr>
      <w:bookmarkStart w:name="DARS_1.2011" w:id="7"/>
      <w:r>
        <w:rPr>
          <w:rFonts w:ascii="Times New Roman" w:hAnsi="Times New Roman"/>
          <w:color w:val="000000"/>
          <w:sz w:val="31"/>
        </w:rPr>
        <w:t>1.201-1</w:t>
      </w:r>
      <w:r>
        <w:rPr>
          <w:rFonts w:ascii="Times New Roman" w:hAnsi="Times New Roman"/>
          <w:color w:val="000000"/>
          <w:sz w:val="31"/>
        </w:rPr>
        <w:t xml:space="preserve"> The two councils.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(S-90) All FAR, DFARS, and DARS policy and procedures change requests to include template, checklist, and corporate library shall be requested through the PL21 Policy and Procedures Mailbox, </w:t>
      </w:r>
      <w:hyperlink r:id="Rd87b91be46eb46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disa.meade.PLD.mbx.pl21-policy-branch@mail.mil</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subject of the email shall provide the FAR, DFARS, or DARS section, Template Name, Checklist Name, or Corporate Library and identify if the change is Critical or Administrative.</w:t>
      </w:r>
    </w:p>
    <!-- Created by docx4j 6.1.2 (Apache licensed) using REFERENCE JAXB in Oracle Java 15 on Linux -->
    <w:p>
      <w:pPr>
        <w:pStyle w:val="Heading3"/>
        <w:spacing w:after="199"/>
        <w:ind w:left="120"/>
        <w:jc w:val="left"/>
      </w:pPr>
      <w:bookmarkStart w:name="DARS_201.20170" w:id="8"/>
      <w:r>
        <w:rPr>
          <w:rFonts w:ascii="Times New Roman" w:hAnsi="Times New Roman"/>
          <w:color w:val="000000"/>
          <w:sz w:val="31"/>
        </w:rPr>
        <w:t>201.201-70</w:t>
      </w:r>
      <w:r>
        <w:rPr>
          <w:rFonts w:ascii="Times New Roman" w:hAnsi="Times New Roman"/>
          <w:color w:val="000000"/>
          <w:sz w:val="31"/>
        </w:rPr>
        <w:t xml:space="preserve"> Maintenance of Procedures, Guidance, and Information.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(S-90) The DISA PSD, PL21 Contract Policy Branch, is responsible for maintenance of the </w:t>
      </w:r>
      <w:hyperlink r:id="Rffcd17a340104d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w:t>
        </w:r>
      </w:hyperlink>
      <w:r>
        <w:rPr>
          <w:rFonts w:ascii="Times New Roman" w:hAnsi="Times New Roman"/>
          <w:b w:val="false"/>
          <w:i w:val="false"/>
          <w:color w:val="000000"/>
          <w:sz w:val="22"/>
        </w:rPr>
        <w:t xml:space="preserve">, </w:t>
      </w:r>
      <w:hyperlink r:id="Rb6a0f79a942d46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Deskbooks, Guides, and Templates.</w:t>
      </w:r>
    </w:p>
    <!-- Created by docx4j 6.1.2 (Apache licensed) using REFERENCE JAXB in Oracle Java 15 on Linux -->
    <w:p>
      <w:pPr>
        <w:pStyle w:val="Heading2"/>
        <w:spacing w:after="180"/>
        <w:ind w:left="120"/>
        <w:jc w:val="center"/>
      </w:pPr>
      <w:bookmarkStart w:name="DARS_SUBPART_1.3" w:id="9"/>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9"/>
    </w:p>
    <w:p>
      <w:pPr>
        <w:spacing w:after="0"/>
        <w:ind w:left="120"/>
        <w:jc w:val="left"/>
      </w:pPr>
    </w:p>
    <!-- Created by docx4j 6.1.2 (Apache licensed) using REFERENCE JAXB in Oracle Java 15 on Linux -->
    <w:p>
      <w:pPr>
        <w:pStyle w:val="Heading3"/>
        <w:spacing w:after="199"/>
        <w:ind w:left="120"/>
        <w:jc w:val="left"/>
      </w:pPr>
      <w:bookmarkStart w:name="DARS_201.301" w:id="10"/>
      <w:r>
        <w:rPr>
          <w:rFonts w:ascii="Times New Roman" w:hAnsi="Times New Roman"/>
          <w:color w:val="000000"/>
          <w:sz w:val="31"/>
        </w:rPr>
        <w:t>201.301</w:t>
      </w:r>
      <w:r>
        <w:rPr>
          <w:rFonts w:ascii="Times New Roman" w:hAnsi="Times New Roman"/>
          <w:color w:val="000000"/>
          <w:sz w:val="31"/>
        </w:rPr>
        <w:t xml:space="preserve"> Policy.</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DARS will be numbered in accordance with the method prescribed in DFARS Subpart 201.3 Agency Acquisition Regulations.</w:t>
      </w:r>
    </w:p>
    <!-- Created by docx4j 6.1.2 (Apache licensed) using REFERENCE JAXB in Oracle Java 15 on Linux -->
    <w:p>
      <w:pPr>
        <w:pStyle w:val="Heading3"/>
        <w:spacing w:after="199"/>
        <w:ind w:left="120"/>
        <w:jc w:val="left"/>
      </w:pPr>
      <w:bookmarkStart w:name="DARS_201.303" w:id="11"/>
      <w:r>
        <w:rPr>
          <w:rFonts w:ascii="Times New Roman" w:hAnsi="Times New Roman"/>
          <w:color w:val="000000"/>
          <w:sz w:val="31"/>
        </w:rPr>
        <w:t>201.303</w:t>
      </w:r>
      <w:r>
        <w:rPr>
          <w:rFonts w:ascii="Times New Roman" w:hAnsi="Times New Roman"/>
          <w:color w:val="000000"/>
          <w:sz w:val="31"/>
        </w:rPr>
        <w:t xml:space="preserve"> Publication and codification.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and/or DFARS, with the exception that supplemental sections are numbered using 90 or (S-90). Parts, subparts, sections, or subsections are supplemented by the addition of a number of 90 and up. Lower divisions are supplemented by the addition of a number of (S-90).</w:t>
      </w:r>
    </w:p>
    <w:p>
      <w:pPr>
        <w:pBdr>
          <w:top w:space="5"/>
          <w:left w:space="5"/>
          <w:bottom w:space="5"/>
          <w:right w:space="5"/>
        </w:pBdr>
        <w:spacing w:after="0"/>
        <w:ind w:left="225"/>
        <w:jc w:val="left"/>
      </w:pPr>
      <w:r>
        <w:rPr>
          <w:rFonts w:ascii="Times New Roman" w:hAnsi="Times New Roman"/>
          <w:b w:val="false"/>
          <w:i w:val="false"/>
          <w:color w:val="000000"/>
          <w:sz w:val="22"/>
        </w:rPr>
        <w:t>(D) The table shown in DFARS Subpart 201.303(D), DFARS Numbering provides an example</w:t>
      </w:r>
    </w:p>
    <w:p>
      <w:pPr>
        <w:pBdr>
          <w:top w:space="5"/>
          <w:left w:space="5"/>
          <w:bottom w:space="5"/>
          <w:right w:space="5"/>
        </w:pBdr>
        <w:spacing w:after="0"/>
        <w:ind w:left="225"/>
        <w:jc w:val="left"/>
      </w:pPr>
      <w:r>
        <w:rPr>
          <w:rFonts w:ascii="Times New Roman" w:hAnsi="Times New Roman"/>
          <w:b w:val="false"/>
          <w:i w:val="false"/>
          <w:color w:val="000000"/>
          <w:sz w:val="22"/>
        </w:rPr>
        <w:t>of the numbering system. Sample Table with DARS Numbering below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2</w:t>
      </w:r>
      <w:r>
        <w:rPr>
          <w:rFonts w:ascii="Times New Roman" w:hAnsi="Times New Roman"/>
          <w:b/>
          <w:i w:val="false"/>
          <w:color w:val="000000"/>
          <w:sz w:val="22"/>
        </w:rPr>
        <w:t>DARS Numbering</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10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Implements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Supplements</w:t>
            </w:r>
          </w:p>
          <w:p>
            <w:pPr>
              <w:pBdr>
                <w:top w:space="5"/>
                <w:left w:space="5"/>
                <w:bottom w:space="5"/>
                <w:right w:space="5"/>
              </w:pBdr>
              <w:spacing w:after="0"/>
              <w:ind w:left="240"/>
              <w:jc w:val="left"/>
            </w:pPr>
            <w:r>
              <w:rPr>
                <w:rFonts w:ascii="Times New Roman" w:hAnsi="Times New Roman"/>
                <w:b w:val="false"/>
                <w:i w:val="false"/>
                <w:color w:val="000000"/>
                <w:sz w:val="22"/>
              </w:rPr>
              <w:t>FAR As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DARS Supplements</w:t>
            </w:r>
          </w:p>
          <w:p>
            <w:pPr>
              <w:pBdr>
                <w:top w:space="5"/>
                <w:left w:space="5"/>
                <w:bottom w:space="5"/>
                <w:right w:space="5"/>
              </w:pBdr>
              <w:spacing w:after="0"/>
              <w:ind w:left="240"/>
              <w:jc w:val="left"/>
            </w:pPr>
            <w:r>
              <w:rPr>
                <w:rFonts w:ascii="Times New Roman" w:hAnsi="Times New Roman"/>
                <w:b w:val="false"/>
                <w:i w:val="false"/>
                <w:color w:val="000000"/>
                <w:sz w:val="22"/>
              </w:rPr>
              <w:t>DFARS As</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219.501-70-90</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219.501-1-70-90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219.501-19(a)(S-70)(S-90)</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219.501-1(a)(1)(S-70)(S-90)</w:t>
            </w:r>
          </w:p>
        </w:tc>
      </w:tr>
    </w:tbl>
    <w:p>
      <w:pPr>
        <w:pBdr>
          <w:top w:space="5"/>
          <w:left w:space="5"/>
          <w:bottom w:space="5"/>
          <w:right w:space="5"/>
        </w:pBdr>
        <w:spacing w:after="0"/>
        <w:ind w:left="225"/>
        <w:jc w:val="left"/>
      </w:pPr>
      <w:r>
        <w:rPr>
          <w:rFonts w:ascii="Times New Roman" w:hAnsi="Times New Roman"/>
          <w:b w:val="false"/>
          <w:i w:val="false"/>
          <w:color w:val="000000"/>
          <w:sz w:val="22"/>
        </w:rPr>
        <w:t>(S-90) Sections under subparts will be enumerated using FAR or DFAR numbering conventions, depending on whether the FAR or DFAR is being implemented or supplemented.</w:t>
      </w:r>
    </w:p>
    <!-- Created by docx4j 6.1.2 (Apache licensed) using REFERENCE JAXB in Oracle Java 15 on Linux -->
    <w:p>
      <w:pPr>
        <w:pStyle w:val="Heading3"/>
        <w:spacing w:after="199"/>
        <w:ind w:left="120"/>
        <w:jc w:val="left"/>
      </w:pPr>
      <w:bookmarkStart w:name="DARS_201.304" w:id="12"/>
      <w:r>
        <w:rPr>
          <w:rFonts w:ascii="Times New Roman" w:hAnsi="Times New Roman"/>
          <w:color w:val="000000"/>
          <w:sz w:val="31"/>
        </w:rPr>
        <w:t>201.304</w:t>
      </w:r>
      <w:r>
        <w:rPr>
          <w:rFonts w:ascii="Times New Roman" w:hAnsi="Times New Roman"/>
          <w:color w:val="000000"/>
          <w:sz w:val="31"/>
        </w:rPr>
        <w:t xml:space="preserve"> Agency control and compliance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(S-90) DISA PL21 shall review all DISA acquisition-related procedures (both mandatory and non-mandatory) that impact the Agency prior to implementation. The procedures are generally implemented as DISA Acquisition Templates, Samples, Guides, and Deskbooks and referenced in the appropriate part in the DARS. Appendix A contains a listing of all current templates, samples, guides, and deskbooks. DISA PL21 facilitates implementation of all DISA Acquisition Documents. DISA procurement and acquisition policy and guidance can be found at </w:t>
      </w:r>
      <w:hyperlink r:id="Rff2c4e6bc48d44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http://www.ditco.disa.mil/hq/aqinfo.asp</w:t>
        </w:r>
        <w:r>
          <w:rPr>
            <w:rFonts w:ascii="Times New Roman" w:hAnsi="Times New Roman"/>
            <w:b w:val="false"/>
            <w:i w:val="false"/>
            <w:color w:val="0000ff"/>
            <w:sz w:val="22"/>
            <w:u w:val="single"/>
          </w:rPr>
          <w:t>.</w:t>
        </w:r>
      </w:hyperlink>
    </w:p>
    <!-- Created by docx4j 6.1.2 (Apache licensed) using REFERENCE JAXB in Oracle Java 15 on Linux -->
    <w:p>
      <w:pPr>
        <w:pStyle w:val="Heading2"/>
        <w:spacing w:after="180"/>
        <w:ind w:left="120"/>
        <w:jc w:val="center"/>
      </w:pPr>
      <w:bookmarkStart w:name="DARS_SUBPART_1.4" w:id="13"/>
      <w:r>
        <w:rPr>
          <w:rFonts w:ascii="Times New Roman" w:hAnsi="Times New Roman"/>
          <w:color w:val="000000"/>
          <w:sz w:val="36"/>
        </w:rPr>
        <w:t>SUBPART 1.4</w:t>
      </w:r>
      <w:r>
        <w:rPr>
          <w:rFonts w:ascii="Times New Roman" w:hAnsi="Times New Roman"/>
          <w:color w:val="000000"/>
          <w:sz w:val="36"/>
        </w:rPr>
        <w:t xml:space="preserve"> –– DEVIATIONS FROM THE FAR</w:t>
      </w:r>
      <w:bookmarkEnd w:id="13"/>
    </w:p>
    <w:p>
      <w:pPr>
        <w:spacing w:after="0"/>
        <w:ind w:left="120"/>
        <w:jc w:val="left"/>
      </w:pPr>
    </w:p>
    <!-- Created by docx4j 6.1.2 (Apache licensed) using REFERENCE JAXB in Oracle Java 15 on Linux -->
    <w:p>
      <w:pPr>
        <w:pStyle w:val="Heading3"/>
        <w:spacing w:after="199"/>
        <w:ind w:left="120"/>
        <w:jc w:val="left"/>
      </w:pPr>
      <w:bookmarkStart w:name="DARS_201.403" w:id="14"/>
      <w:r>
        <w:rPr>
          <w:rFonts w:ascii="Times New Roman" w:hAnsi="Times New Roman"/>
          <w:color w:val="000000"/>
          <w:sz w:val="31"/>
        </w:rPr>
        <w:t>201.403</w:t>
      </w:r>
      <w:r>
        <w:rPr>
          <w:rFonts w:ascii="Times New Roman" w:hAnsi="Times New Roman"/>
          <w:color w:val="000000"/>
          <w:sz w:val="31"/>
        </w:rPr>
        <w:t xml:space="preserve"> Individual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(S-90) Appendix B contains the approved DISA Clause Control Plan and shall be followed for approval of deviations and clauses other than those prescribed in the FAR and DFARS.</w:t>
      </w:r>
    </w:p>
    <!-- Created by docx4j 6.1.2 (Apache licensed) using REFERENCE JAXB in Oracle Java 15 on Linux -->
    <w:p>
      <w:pPr>
        <w:pStyle w:val="Heading2"/>
        <w:spacing w:after="180"/>
        <w:ind w:left="120"/>
        <w:jc w:val="center"/>
      </w:pPr>
      <w:bookmarkStart w:name="DARS_SUBPART_1.5" w:id="15"/>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5"/>
    </w:p>
    <w:p>
      <w:pPr>
        <w:spacing w:after="0"/>
        <w:ind w:left="120"/>
        <w:jc w:val="left"/>
      </w:pPr>
    </w:p>
    <!-- Created by docx4j 6.1.2 (Apache licensed) using REFERENCE JAXB in Oracle Java 15 on Linux -->
    <w:p>
      <w:pPr>
        <w:pStyle w:val="Heading3"/>
        <w:spacing w:after="199"/>
        <w:ind w:left="120"/>
        <w:jc w:val="left"/>
      </w:pPr>
      <w:bookmarkStart w:name="DARS_1.5012" w:id="16"/>
      <w:r>
        <w:rPr>
          <w:rFonts w:ascii="Times New Roman" w:hAnsi="Times New Roman"/>
          <w:color w:val="000000"/>
          <w:sz w:val="31"/>
        </w:rPr>
        <w:t>1.501-2</w:t>
      </w:r>
      <w:r>
        <w:rPr>
          <w:rFonts w:ascii="Times New Roman" w:hAnsi="Times New Roman"/>
          <w:color w:val="000000"/>
          <w:sz w:val="31"/>
        </w:rPr>
        <w:t xml:space="preserve"> Opportunity for public comments.</w:t>
      </w:r>
      <w:bookmarkEnd w:id="16"/>
    </w:p>
    <w:p>
      <w:pPr>
        <w:pBdr>
          <w:top w:space="5"/>
          <w:left w:space="5"/>
          <w:bottom w:space="5"/>
          <w:right w:space="5"/>
        </w:pBdr>
        <w:spacing w:after="0"/>
        <w:ind w:left="225"/>
        <w:jc w:val="left"/>
      </w:pPr>
      <w:r>
        <w:rPr>
          <w:rFonts w:ascii="Times New Roman" w:hAnsi="Times New Roman"/>
          <w:b w:val="false"/>
          <w:i w:val="false"/>
          <w:color w:val="000000"/>
          <w:sz w:val="22"/>
        </w:rPr>
        <w:t>(S-90) Comments on proposed or interim rules published for public comment in the Federal Register shall be submitted through DISA PL21, disa.meade.PLD.mbx.pl21-policy-branch@mail.mil to the Head of the Contracting Activity (HCA).</w:t>
      </w:r>
    </w:p>
    <!-- Created by docx4j 6.1.2 (Apache licensed) using REFERENCE JAXB in Oracle Java 15 on Linux -->
    <w:p>
      <w:pPr>
        <w:pStyle w:val="Heading2"/>
        <w:spacing w:after="180"/>
        <w:ind w:left="120"/>
        <w:jc w:val="center"/>
      </w:pPr>
      <w:bookmarkStart w:name="DARS_SUBPART_1.6" w:id="17"/>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7"/>
    </w:p>
    <!-- Created by docx4j 6.1.2 (Apache licensed) using REFERENCE JAXB in Oracle Java 15 on Linux -->
    <w:p>
      <w:pPr>
        <w:pStyle w:val="Heading3"/>
        <w:spacing w:after="199"/>
        <w:ind w:left="120"/>
        <w:jc w:val="left"/>
      </w:pPr>
      <w:bookmarkStart w:name="DARS_201.6022" w:id="18"/>
      <w:r>
        <w:rPr>
          <w:rFonts w:ascii="Times New Roman" w:hAnsi="Times New Roman"/>
          <w:color w:val="000000"/>
          <w:sz w:val="31"/>
        </w:rPr>
        <w:t>201.602-2</w:t>
      </w:r>
      <w:r>
        <w:rPr>
          <w:rFonts w:ascii="Times New Roman" w:hAnsi="Times New Roman"/>
          <w:color w:val="000000"/>
          <w:sz w:val="31"/>
        </w:rPr>
        <w:t xml:space="preserve"> Responsibilities.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Policy.</w:t>
      </w:r>
      <w:r>
        <w:rPr>
          <w:rFonts w:ascii="Times New Roman" w:hAnsi="Times New Roman"/>
          <w:b w:val="false"/>
          <w:i w:val="false"/>
          <w:color w:val="000000"/>
          <w:sz w:val="22"/>
        </w:rPr>
        <w:t xml:space="preserve"> The contracting officer shall designate and manage Contracting Officer’s Representatives (CORs) in accordance with the DoD and DISA COR Handbooks located at </w:t>
      </w:r>
      <w:hyperlink r:id="R6d8cfd0d22b348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The authority to designate CORs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must designate the COR in the </w:t>
      </w:r>
      <w:r>
        <w:rPr>
          <w:rFonts w:ascii="Times New Roman" w:hAnsi="Times New Roman"/>
          <w:b w:val="false"/>
          <w:i w:val="false"/>
          <w:color w:val="000000"/>
          <w:sz w:val="22"/>
          <w:u w:val="single"/>
        </w:rPr>
        <w:t>Joint Appointment Module (</w:t>
      </w:r>
      <w:r>
        <w:rPr>
          <w:rFonts w:ascii="Times New Roman" w:hAnsi="Times New Roman"/>
          <w:b w:val="false"/>
          <w:i w:val="false"/>
          <w:color w:val="000000"/>
          <w:sz w:val="22"/>
        </w:rPr>
        <w:t>JAM) as part of the award process, inserting DISA specific instructions as applicable</w:t>
      </w:r>
      <w:r>
        <w:rPr>
          <w:rFonts w:ascii="Times New Roman" w:hAnsi="Times New Roman"/>
          <w:b w:val="false"/>
          <w:i w:val="false"/>
          <w:color w:val="000000"/>
          <w:sz w:val="22"/>
        </w:rPr>
        <w:t>.</w:t>
      </w:r>
      <w:r>
        <w:rPr>
          <w:rFonts w:ascii="Times New Roman" w:hAnsi="Times New Roman"/>
          <w:b w:val="false"/>
          <w:i w:val="false"/>
          <w:color w:val="000000"/>
          <w:sz w:val="22"/>
        </w:rPr>
        <w:t>The JAM module is located at</w:t>
      </w:r>
      <w:hyperlink r:id="R949a8080ce1d4a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r>
        <w:rPr>
          <w:rFonts w:ascii="Times New Roman" w:hAnsi="Times New Roman"/>
          <w:b w:val="false"/>
          <w:i w:val="false"/>
          <w:color w:val="000000"/>
          <w:sz w:val="22"/>
        </w:rPr>
        <w:t>. Within JAM, a COR may self-nominate or the contracting officer may appoint a COR.</w:t>
      </w:r>
    </w:p>
    <w:p>
      <w:pPr>
        <w:pBdr>
          <w:top w:space="5"/>
          <w:left w:space="5"/>
          <w:bottom w:space="5"/>
          <w:right w:space="5"/>
        </w:pBdr>
        <w:spacing w:after="0"/>
        <w:ind w:left="225"/>
        <w:jc w:val="left"/>
      </w:pPr>
      <w:r>
        <w:rPr>
          <w:rFonts w:ascii="Times New Roman" w:hAnsi="Times New Roman"/>
          <w:b w:val="false"/>
          <w:i w:val="false"/>
          <w:color w:val="000000"/>
          <w:sz w:val="22"/>
        </w:rPr>
        <w:t>(S-92)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w:t>
      </w:r>
      <w:r>
        <w:rPr>
          <w:rFonts w:ascii="Times New Roman" w:hAnsi="Times New Roman"/>
          <w:b w:val="false"/>
          <w:i w:val="false"/>
          <w:color w:val="000000"/>
          <w:sz w:val="22"/>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Electronic Document Management System (EDMS) Tab 52 shall contain a copy of the approved designation letter from the JAM module.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Technical Representative</w:t>
      </w:r>
      <w:r>
        <w:rPr>
          <w:rFonts w:ascii="Times New Roman" w:hAnsi="Times New Roman"/>
          <w:b w:val="false"/>
          <w:i w:val="false"/>
          <w:color w:val="000000"/>
          <w:sz w:val="22"/>
        </w:rPr>
        <w:t xml:space="preserve"> (TR) is distinctly different from a COR. A TR is not authorized to perform contract administration functions and is generally located at a contractor’s facility to provide program technical oversight. The program manager (see DARS Part 7 for definition) appoints the TR. See DFARS 242.74 for TR procedures.</w:t>
      </w:r>
    </w:p>
    <!-- Created by docx4j 6.1.2 (Apache licensed) using REFERENCE JAXB in Oracle Java 15 on Linux -->
    <w:p>
      <w:pPr>
        <w:pStyle w:val="Heading3"/>
        <w:spacing w:after="199"/>
        <w:ind w:left="120"/>
        <w:jc w:val="left"/>
      </w:pPr>
      <w:bookmarkStart w:name="DARS_1.6023" w:id="19"/>
      <w:r>
        <w:rPr>
          <w:rFonts w:ascii="Times New Roman" w:hAnsi="Times New Roman"/>
          <w:color w:val="000000"/>
          <w:sz w:val="31"/>
        </w:rPr>
        <w:t>1.602-3</w:t>
      </w:r>
      <w:r>
        <w:rPr>
          <w:rFonts w:ascii="Times New Roman" w:hAnsi="Times New Roman"/>
          <w:color w:val="000000"/>
          <w:sz w:val="31"/>
        </w:rPr>
        <w:t xml:space="preserve"> Ratification of unauthorized commitments.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Ratifying Official</w:t>
      </w:r>
      <w:r>
        <w:rPr>
          <w:rFonts w:ascii="Times New Roman" w:hAnsi="Times New Roman"/>
          <w:b w:val="false"/>
          <w:i/>
          <w:color w:val="000000"/>
          <w:sz w:val="22"/>
        </w:rPr>
        <w:t>.</w:t>
      </w:r>
      <w:r>
        <w:rPr>
          <w:rFonts w:ascii="Times New Roman" w:hAnsi="Times New Roman"/>
          <w:b w:val="false"/>
          <w:i w:val="false"/>
          <w:color w:val="000000"/>
          <w:sz w:val="22"/>
        </w:rPr>
        <w:t xml:space="preserve"> Ratifying Official as used here means the Senior Procurement Executive, (SPE) or the Head of the Contracting Activity (HCA), as specified in (b)(2) below.</w:t>
      </w:r>
    </w:p>
    <w:p>
      <w:pPr>
        <w:pBdr>
          <w:top w:space="5"/>
          <w:left w:space="5"/>
          <w:bottom w:space="5"/>
          <w:right w:space="5"/>
        </w:pBdr>
        <w:spacing w:after="0"/>
        <w:ind w:left="225"/>
        <w:jc w:val="left"/>
      </w:pPr>
      <w:r>
        <w:rPr>
          <w:rFonts w:ascii="Times New Roman" w:hAnsi="Times New Roman"/>
          <w:b w:val="false"/>
          <w:i w:val="false"/>
          <w:color w:val="000000"/>
          <w:sz w:val="22"/>
        </w:rPr>
        <w:t>(b)(2) The ratifying official for all DISA unauthorized commitments (UC) of any dollar value and non-DISA UCs valued at or above $1M is the SPE. The ratifying official for all non-DISA UCs valued below $1M is the HCA. Coordination of the ratification request 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the complete package into the PL22 Ratification Log, assign a tracking number, review the package to provide any findings or comments to the contracting officer, and coordinate the final package for submission to the ratifying official for approval. The CoCO will notify the HCA when an UC has occurred, to include Center/Directorate/Division and D-Code, individual who committed the UC, dollar value, and the general facts of the UC. The HCA will notify the cognizant Center/Directorate SES(s).</w:t>
      </w:r>
    </w:p>
    <w:p>
      <w:pPr>
        <w:pBdr>
          <w:top w:space="5"/>
          <w:left w:space="5"/>
          <w:bottom w:space="5"/>
          <w:right w:space="5"/>
        </w:pBdr>
        <w:spacing w:after="0"/>
        <w:ind w:left="225"/>
        <w:jc w:val="left"/>
      </w:pPr>
      <w:r>
        <w:rPr>
          <w:rFonts w:ascii="Times New Roman" w:hAnsi="Times New Roman"/>
          <w:b w:val="false"/>
          <w:i w:val="false"/>
          <w:color w:val="000000"/>
          <w:sz w:val="22"/>
        </w:rPr>
        <w:t>(S-90) For all DISA requiring offices, the individual that made the UC serves as the Action Officer for the ratification request and prepares the package using the PSD Request for Approval of Unauthorized Commitment Form, to include documents specified to be provided to develop a complete record of the UC, and prepares a DISA Form 9. If the UC was made by a non-DISA employee, then the Form 9 will be prepared by the contract specialist or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The Ratification Approval Form, Ratification Instructions, DISA Form 9, Timelines for Processing Ratification Packages, and Ratification Log are located in the </w:t>
      </w:r>
      <w:hyperlink r:id="R8705e4e5c7e64ed4">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1.602-3.</w:t>
      </w:r>
    </w:p>
    <w:p>
      <w:pPr>
        <w:pBdr>
          <w:top w:space="5"/>
          <w:left w:space="5"/>
          <w:bottom w:space="5"/>
          <w:right w:space="5"/>
        </w:pBdr>
        <w:spacing w:after="0"/>
        <w:ind w:left="225"/>
        <w:jc w:val="left"/>
      </w:pPr>
      <w:r>
        <w:rPr>
          <w:rFonts w:ascii="Times New Roman" w:hAnsi="Times New Roman"/>
          <w:b w:val="false"/>
          <w:i w:val="false"/>
          <w:color w:val="000000"/>
          <w:sz w:val="22"/>
        </w:rPr>
        <w:t>(S-91) Timelines for Processing Ratification Packages can be found in DARS PGI 1.602-3(b)(2)(S-91)</w:t>
      </w:r>
    </w:p>
    <!-- Created by docx4j 6.1.2 (Apache licensed) using REFERENCE JAXB in Oracle Java 15 on Linux -->
    <w:p>
      <w:pPr>
        <w:pStyle w:val="Heading3"/>
        <w:spacing w:after="199"/>
        <w:ind w:left="120"/>
        <w:jc w:val="left"/>
      </w:pPr>
      <w:bookmarkStart w:name="DARS_1.603" w:id="20"/>
      <w:r>
        <w:rPr>
          <w:rFonts w:ascii="Times New Roman" w:hAnsi="Times New Roman"/>
          <w:color w:val="000000"/>
          <w:sz w:val="31"/>
        </w:rPr>
        <w:t>1.603</w:t>
      </w:r>
      <w:r>
        <w:rPr>
          <w:rFonts w:ascii="Times New Roman" w:hAnsi="Times New Roman"/>
          <w:color w:val="000000"/>
          <w:sz w:val="31"/>
        </w:rPr>
        <w:t xml:space="preserve"> Selection, appointment, and termination of appointment for contracting officers.</w:t>
      </w:r>
      <w:bookmarkEnd w:id="20"/>
    </w:p>
    <!-- Created by docx4j 6.1.2 (Apache licensed) using REFERENCE JAXB in Oracle Java 15 on Linux -->
    <w:p>
      <w:pPr>
        <w:pStyle w:val="Heading3"/>
        <w:spacing w:after="199"/>
        <w:ind w:left="120"/>
        <w:jc w:val="left"/>
      </w:pPr>
      <w:bookmarkStart w:name="DARS_1.6031" w:id="21"/>
      <w:r>
        <w:rPr>
          <w:rFonts w:ascii="Times New Roman" w:hAnsi="Times New Roman"/>
          <w:color w:val="000000"/>
          <w:sz w:val="31"/>
        </w:rPr>
        <w:t>1.603-1</w:t>
      </w:r>
      <w:r>
        <w:rPr>
          <w:rFonts w:ascii="Times New Roman" w:hAnsi="Times New Roman"/>
          <w:color w:val="000000"/>
          <w:sz w:val="31"/>
        </w:rPr>
        <w:t xml:space="preserve"> General.</w:t>
      </w:r>
      <w:bookmarkEnd w:id="21"/>
    </w:p>
    <w:p>
      <w:pPr>
        <w:pBdr>
          <w:top w:space="5"/>
          <w:left w:space="5"/>
          <w:bottom w:space="5"/>
          <w:right w:space="5"/>
        </w:pBdr>
        <w:spacing w:after="0"/>
        <w:ind w:left="225"/>
        <w:jc w:val="left"/>
      </w:pPr>
      <w:r>
        <w:rPr>
          <w:rFonts w:ascii="Times New Roman" w:hAnsi="Times New Roman"/>
          <w:b w:val="false"/>
          <w:i w:val="false"/>
          <w:color w:val="000000"/>
          <w:sz w:val="22"/>
        </w:rPr>
        <w:t>Authority for selection, appointment, and terminate an appointment for contracting officers is</w:t>
      </w:r>
    </w:p>
    <w:p>
      <w:pPr>
        <w:pBdr>
          <w:top w:space="5"/>
          <w:left w:space="5"/>
          <w:bottom w:space="5"/>
          <w:right w:space="5"/>
        </w:pBdr>
        <w:spacing w:after="0"/>
        <w:ind w:left="225"/>
        <w:jc w:val="left"/>
      </w:pPr>
      <w:r>
        <w:rPr>
          <w:rFonts w:ascii="Times New Roman" w:hAnsi="Times New Roman"/>
          <w:b w:val="false"/>
          <w:i w:val="false"/>
          <w:color w:val="000000"/>
          <w:sz w:val="22"/>
        </w:rPr>
        <w:t>delegated to the DISA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(S-90) The types of contracting officer appointments are described in Table 1-3:</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3</w:t>
      </w:r>
      <w:r>
        <w:rPr>
          <w:rFonts w:ascii="Times New Roman" w:hAnsi="Times New Roman"/>
          <w:b/>
          <w:i w:val="false"/>
          <w:color w:val="000000"/>
          <w:sz w:val="22"/>
        </w:rPr>
        <w:t>Contracting Officer Appointments and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84"/>
        <w:gridCol w:w="1772"/>
        <w:gridCol w:w="1751"/>
        <w:gridCol w:w="1751"/>
        <w:gridCol w:w="2012"/>
      </w:tblGrid>
      <w:tr>
        <w:trPr>
          <w:trHeight w:val="810"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 Appointment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Amount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Training Qualifications</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Assessment Requirements</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SF 1402 Statement</w:t>
            </w:r>
          </w:p>
        </w:tc>
      </w:tr>
      <w:tr>
        <w:trPr>
          <w:trHeight w:val="739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Communications Management &amp; Control Activity (CMCA)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$25K / $100K</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 237</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268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Closeout</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contract closeout actions up to the Simplified Acquisition Threshold (SAT). No termination authority is granted.</w:t>
            </w:r>
          </w:p>
        </w:tc>
      </w:tr>
      <w:tr>
        <w:trPr>
          <w:trHeight w:val="463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Networx/EIS</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 - Purchasing or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None</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tc>
      </w:tr>
      <w:tr>
        <w:trPr>
          <w:trHeight w:val="847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White House Communications Agency (WHCA)</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Varies up to</w:t>
            </w:r>
          </w:p>
          <w:p>
            <w:pPr>
              <w:pBdr>
                <w:top w:space="5"/>
                <w:left w:space="5"/>
                <w:bottom w:space="5"/>
                <w:right w:space="5"/>
              </w:pBdr>
              <w:spacing w:after="0"/>
              <w:ind w:left="240"/>
              <w:jc w:val="left"/>
            </w:pPr>
            <w:r>
              <w:rPr>
                <w:rFonts w:ascii="Times New Roman" w:hAnsi="Times New Roman"/>
                <w:b w:val="false"/>
                <w:i w:val="false"/>
                <w:color w:val="000000"/>
                <w:sz w:val="22"/>
              </w:rPr>
              <w:t>$5M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except, contract authority is $xxx,xxx for orders issued against existing Government contracts or contracts established under FAR Part 8 and Part 16 procedures. No authority to contract for telecommunications services that are usage based, including monthly recurring charges, or are subject to regulatory tariffs is included.</w:t>
            </w:r>
          </w:p>
          <w:p>
            <w:pPr>
              <w:pBdr>
                <w:top w:space="5"/>
                <w:left w:space="5"/>
                <w:bottom w:space="5"/>
                <w:right w:space="5"/>
              </w:pBdr>
              <w:spacing w:after="0"/>
              <w:ind w:left="240"/>
              <w:jc w:val="left"/>
            </w:pPr>
            <w:r>
              <w:rPr>
                <w:rFonts w:ascii="Times New Roman" w:hAnsi="Times New Roman"/>
                <w:b w:val="false"/>
                <w:i w:val="false"/>
                <w:color w:val="000000"/>
                <w:sz w:val="22"/>
              </w:rPr>
              <w:t>Termination authority is limited to the amount of contract authority.</w:t>
            </w:r>
          </w:p>
        </w:tc>
      </w:tr>
      <w:tr>
        <w:trPr>
          <w:trHeight w:val="622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SAT,</w:t>
            </w:r>
          </w:p>
          <w:p>
            <w:pPr>
              <w:pBdr>
                <w:top w:space="5"/>
                <w:left w:space="5"/>
                <w:bottom w:space="5"/>
                <w:right w:space="5"/>
              </w:pBdr>
              <w:spacing w:after="0"/>
              <w:ind w:left="240"/>
              <w:jc w:val="left"/>
            </w:pPr>
            <w:r>
              <w:rPr>
                <w:rFonts w:ascii="Times New Roman" w:hAnsi="Times New Roman"/>
                <w:b w:val="false"/>
                <w:i w:val="false"/>
                <w:color w:val="000000"/>
                <w:sz w:val="22"/>
              </w:rPr>
              <w:t>$1M, $5M,</w:t>
            </w:r>
          </w:p>
          <w:p>
            <w:pPr>
              <w:pBdr>
                <w:top w:space="5"/>
                <w:left w:space="5"/>
                <w:bottom w:space="5"/>
                <w:right w:space="5"/>
              </w:pBdr>
              <w:spacing w:after="0"/>
              <w:ind w:left="240"/>
              <w:jc w:val="left"/>
            </w:pPr>
            <w:r>
              <w:rPr>
                <w:rFonts w:ascii="Times New Roman" w:hAnsi="Times New Roman"/>
                <w:b w:val="false"/>
                <w:i w:val="false"/>
                <w:color w:val="000000"/>
                <w:sz w:val="22"/>
              </w:rPr>
              <w:t>$10M,</w:t>
            </w:r>
          </w:p>
          <w:p>
            <w:pPr>
              <w:pBdr>
                <w:top w:space="5"/>
                <w:left w:space="5"/>
                <w:bottom w:space="5"/>
                <w:right w:space="5"/>
              </w:pBdr>
              <w:spacing w:after="0"/>
              <w:ind w:left="240"/>
              <w:jc w:val="left"/>
            </w:pPr>
            <w:r>
              <w:rPr>
                <w:rFonts w:ascii="Times New Roman" w:hAnsi="Times New Roman"/>
                <w:b w:val="false"/>
                <w:i w:val="false"/>
                <w:color w:val="000000"/>
                <w:sz w:val="22"/>
              </w:rPr>
              <w:t>$25M</w:t>
            </w:r>
          </w:p>
          <w:p>
            <w:pPr>
              <w:pBdr>
                <w:top w:space="5"/>
                <w:left w:space="5"/>
                <w:bottom w:space="5"/>
                <w:right w:space="5"/>
              </w:pBdr>
              <w:spacing w:after="0"/>
              <w:ind w:left="240"/>
              <w:jc w:val="left"/>
            </w:pPr>
            <w:r>
              <w:rPr>
                <w:rFonts w:ascii="Times New Roman" w:hAnsi="Times New Roman"/>
                <w:b w:val="false"/>
                <w:i w:val="false"/>
                <w:color w:val="000000"/>
                <w:sz w:val="22"/>
              </w:rPr>
              <w:t>$50M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30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contract actions up to the Simplified Acquisition Threshold (SAT). Termination authority is limited to the amount of contract authority.</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262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$100M,</w:t>
            </w:r>
          </w:p>
          <w:p>
            <w:pPr>
              <w:pBdr>
                <w:top w:space="5"/>
                <w:left w:space="5"/>
                <w:bottom w:space="5"/>
                <w:right w:space="5"/>
              </w:pBdr>
              <w:spacing w:after="0"/>
              <w:ind w:left="240"/>
              <w:jc w:val="left"/>
            </w:pPr>
            <w:r>
              <w:rPr>
                <w:rFonts w:ascii="Times New Roman" w:hAnsi="Times New Roman"/>
                <w:b w:val="false"/>
                <w:i w:val="false"/>
                <w:color w:val="000000"/>
                <w:sz w:val="22"/>
              </w:rPr>
              <w:t>$250M or</w:t>
            </w:r>
          </w:p>
          <w:p>
            <w:pPr>
              <w:pBdr>
                <w:top w:space="5"/>
                <w:left w:space="5"/>
                <w:bottom w:space="5"/>
                <w:right w:space="5"/>
              </w:pBdr>
              <w:spacing w:after="0"/>
              <w:ind w:left="240"/>
              <w:jc w:val="left"/>
            </w:pPr>
            <w:r>
              <w:rPr>
                <w:rFonts w:ascii="Times New Roman" w:hAnsi="Times New Roman"/>
                <w:b w:val="false"/>
                <w:i w:val="false"/>
                <w:color w:val="000000"/>
                <w:sz w:val="22"/>
              </w:rPr>
              <w:t>$500M</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 -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of 50 question “Contracting Officer Appointment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authority is limited to</w:t>
            </w:r>
          </w:p>
          <w:p>
            <w:pPr>
              <w:pBdr>
                <w:top w:space="5"/>
                <w:left w:space="5"/>
                <w:bottom w:space="5"/>
                <w:right w:space="5"/>
              </w:pBdr>
              <w:spacing w:after="0"/>
              <w:ind w:left="240"/>
              <w:jc w:val="left"/>
            </w:pPr>
            <w:r>
              <w:rPr>
                <w:rFonts w:ascii="Times New Roman" w:hAnsi="Times New Roman"/>
                <w:b w:val="false"/>
                <w:i w:val="false"/>
                <w:color w:val="000000"/>
                <w:sz w:val="22"/>
              </w:rPr>
              <w:t>$xxx,xxx for any contract action. Termination authority is limited to the amount of contract authority.</w:t>
            </w:r>
          </w:p>
        </w:tc>
      </w:tr>
      <w:tr>
        <w:trPr>
          <w:trHeight w:val="6165" w:hRule="atLeast"/>
        </w:trPr>
        <w:tc>
          <w:tcPr>
            <w:tcW w:w="270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5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DAWIA Level III</w:t>
            </w:r>
          </w:p>
          <w:p>
            <w:pPr>
              <w:pBdr>
                <w:top w:space="5"/>
                <w:left w:space="5"/>
                <w:bottom w:space="5"/>
                <w:right w:space="5"/>
              </w:pBdr>
              <w:spacing w:after="0"/>
              <w:ind w:left="240"/>
              <w:jc w:val="left"/>
            </w:pPr>
            <w:r>
              <w:rPr>
                <w:rFonts w:ascii="Times New Roman" w:hAnsi="Times New Roman"/>
                <w:b w:val="false"/>
                <w:i w:val="false"/>
                <w:color w:val="000000"/>
                <w:sz w:val="22"/>
              </w:rPr>
              <w:t>- Contracting</w:t>
            </w:r>
          </w:p>
        </w:tc>
        <w:tc>
          <w:tcPr>
            <w:tcW w:w="264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Passing a “Contracting Officer Appointment Review Board” and have already passed a “Contracting Officer Appointment Test” (either 30, 40 or 50 questions; if the applicant has never taken the Contracting Officer Appointment Test, the applicant must pass a 50-question test)</w:t>
            </w:r>
          </w:p>
        </w:tc>
        <w:tc>
          <w:tcPr>
            <w:tcW w:w="30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 limitations.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Waivers.</w:t>
      </w:r>
      <w:r>
        <w:rPr>
          <w:rFonts w:ascii="Times New Roman" w:hAnsi="Times New Roman"/>
          <w:b w:val="false"/>
          <w:i w:val="false"/>
          <w:color w:val="000000"/>
          <w:sz w:val="22"/>
        </w:rPr>
        <w:t xml:space="preserve"> The HCA may waive warrant requirements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Type of Assessments.</w:t>
      </w:r>
      <w:r>
        <w:rPr>
          <w:rFonts w:ascii="Times New Roman" w:hAnsi="Times New Roman"/>
          <w:b w:val="false"/>
          <w:i w:val="false"/>
          <w:color w:val="000000"/>
          <w:sz w:val="22"/>
        </w:rPr>
        <w:t xml:space="preserve"> The types of assessments are described in Table 1-3 and below. It is the responsibility of a candidate’s supervisory chain, CoCO and HCO to ensure a candidate is prepared for each of the three requirements.</w:t>
      </w:r>
    </w:p>
    <w:p>
      <w:pPr>
        <w:pBdr>
          <w:top w:space="5"/>
          <w:left w:space="5"/>
          <w:bottom w:space="5"/>
          <w:right w:space="5"/>
        </w:pBdr>
        <w:spacing w:after="0"/>
        <w:ind w:left="225"/>
        <w:jc w:val="center"/>
      </w:pPr>
      <w:r>
        <w:rPr>
          <w:rFonts w:ascii="Times New Roman" w:hAnsi="Times New Roman"/>
          <w:b/>
          <w:i w:val="false"/>
          <w:color w:val="000000"/>
          <w:sz w:val="22"/>
        </w:rPr>
        <w:t>Table 1-4 Contracting Officer Assessment Requirements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Assessment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Required For</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Contracting Officer Appointment Test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warrants; see Table 1-2 for</w:t>
            </w:r>
          </w:p>
          <w:p>
            <w:pPr>
              <w:pBdr>
                <w:top w:space="5"/>
                <w:left w:space="5"/>
                <w:bottom w:space="5"/>
                <w:right w:space="5"/>
              </w:pBdr>
              <w:spacing w:after="0"/>
              <w:ind w:left="240"/>
              <w:jc w:val="left"/>
            </w:pPr>
            <w:r>
              <w:rPr>
                <w:rFonts w:ascii="Times New Roman" w:hAnsi="Times New Roman"/>
                <w:b w:val="false"/>
                <w:i w:val="false"/>
                <w:color w:val="000000"/>
                <w:sz w:val="22"/>
              </w:rPr>
              <w:t>number of questions and exceptions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Contracting Officer Appointment Review Board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Unlimited warrants</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Contracting Officer Appointment Procedures</w:t>
      </w:r>
      <w:r>
        <w:rPr>
          <w:rFonts w:ascii="Times New Roman" w:hAnsi="Times New Roman"/>
          <w:b w:val="false"/>
          <w:i w:val="false"/>
          <w:color w:val="000000"/>
          <w:sz w:val="22"/>
        </w:rPr>
        <w:t xml:space="preserve">. The procedures for this section can be found at </w:t>
      </w:r>
      <w:hyperlink r:id="Ra2d07b1799fb46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https://disa.deps.mil/org/PL2/Pages/DITCORefs.aspx</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ARS_1.603190" w:id="22"/>
      <w:r>
        <w:rPr>
          <w:rFonts w:ascii="Times New Roman" w:hAnsi="Times New Roman"/>
          <w:color w:val="000000"/>
          <w:sz w:val="31"/>
        </w:rPr>
        <w:t>1.603-1-90</w:t>
      </w:r>
      <w:r>
        <w:rPr>
          <w:rFonts w:ascii="Times New Roman" w:hAnsi="Times New Roman"/>
          <w:color w:val="000000"/>
          <w:sz w:val="31"/>
        </w:rPr>
        <w:t xml:space="preserve"> Ordering officers.</w:t>
      </w:r>
      <w:bookmarkEnd w:id="22"/>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Agency/Organization Program Coordinator (A/OPC).</w:t>
      </w:r>
      <w:r>
        <w:rPr>
          <w:rFonts w:ascii="Times New Roman" w:hAnsi="Times New Roman"/>
          <w:b w:val="false"/>
          <w:i w:val="false"/>
          <w:color w:val="000000"/>
          <w:sz w:val="22"/>
        </w:rPr>
        <w:t xml:space="preserve"> The A/OPC is an individual who has responsibility for implementing, maintaining, monitoring, and overseeing GPC program under their cognizance in accordance with governing statute, regulations, policies, and procedures.</w:t>
      </w:r>
    </w:p>
    <w:p>
      <w:pPr>
        <w:pBdr>
          <w:top w:space="5"/>
          <w:left w:space="5"/>
          <w:bottom w:space="5"/>
          <w:right w:space="5"/>
        </w:pBdr>
        <w:spacing w:after="0"/>
        <w:ind w:left="225"/>
        <w:jc w:val="left"/>
      </w:pPr>
      <w:r>
        <w:rPr>
          <w:rFonts w:ascii="Times New Roman" w:hAnsi="Times New Roman"/>
          <w:b w:val="false"/>
          <w:i w:val="false"/>
          <w:color w:val="000000"/>
          <w:sz w:val="22"/>
        </w:rPr>
        <w:t>(b) Authority to appoint or terminate DISA ordering officers with a purchase card threshold in excess of the micro-purchase threshold is the DISA Agency/Organization Program Coordinator (A/OPC). Prior to appointing the ordering officer in Procurement Integrated Enterprise Environment/Joint Appointment Module (PIEE/JAM), the A/OPC will obtain concurrence from the responsible HCO, whose aligned CoCOs provide contracting support to a DISA mission partner, except as noted in 1.603-1-90(e)(1)(ii).</w:t>
      </w:r>
    </w:p>
    <w:p>
      <w:pPr>
        <w:pBdr>
          <w:top w:space="5"/>
          <w:left w:space="5"/>
          <w:bottom w:space="5"/>
          <w:right w:space="5"/>
        </w:pBdr>
        <w:spacing w:after="0"/>
        <w:ind w:left="225"/>
        <w:jc w:val="left"/>
      </w:pPr>
      <w:r>
        <w:rPr>
          <w:rFonts w:ascii="Times New Roman" w:hAnsi="Times New Roman"/>
          <w:b w:val="false"/>
          <w:i w:val="false"/>
          <w:color w:val="000000"/>
          <w:sz w:val="22"/>
        </w:rPr>
        <w:t>(1) Ordering officer appointments are limited to DISA personnel;</w:t>
      </w:r>
    </w:p>
    <w:p>
      <w:pPr>
        <w:pBdr>
          <w:top w:space="5"/>
          <w:left w:space="5"/>
          <w:bottom w:space="5"/>
          <w:right w:space="5"/>
        </w:pBdr>
        <w:spacing w:after="0"/>
        <w:ind w:left="225"/>
        <w:jc w:val="left"/>
      </w:pPr>
      <w:r>
        <w:rPr>
          <w:rFonts w:ascii="Times New Roman" w:hAnsi="Times New Roman"/>
          <w:b w:val="false"/>
          <w:i w:val="false"/>
          <w:color w:val="000000"/>
          <w:sz w:val="22"/>
        </w:rPr>
        <w:t>(2) Ordering officer authority is limited to $25,000 for fixed-price orders against existing contracts (e.g. General Services Administration Federal Supply Schedules, Blanket Purchase Agreements, and FedMall Contracts—excluding FedMall Market Place purchases) established under FAR Part 8 or FAR Part 16 procedures. Orders are to fulfill mission essential requirements for supplies and services and must comply with contract terms and conditions. Open market purchases are limited to the micro-purchase threshold IAW FAR 2.101.</w:t>
      </w:r>
    </w:p>
    <w:p>
      <w:pPr>
        <w:pBdr>
          <w:top w:space="5"/>
          <w:left w:space="5"/>
          <w:bottom w:space="5"/>
          <w:right w:space="5"/>
        </w:pBdr>
        <w:spacing w:after="0"/>
        <w:ind w:left="225"/>
        <w:jc w:val="left"/>
      </w:pPr>
      <w:r>
        <w:rPr>
          <w:rFonts w:ascii="Times New Roman" w:hAnsi="Times New Roman"/>
          <w:b w:val="false"/>
          <w:i w:val="false"/>
          <w:color w:val="000000"/>
          <w:sz w:val="22"/>
        </w:rPr>
        <w:t>(3) Ordering officer authority shall 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(4) Orders placed by ordering officers shall use the Government-wide commercial purchase card (GPC) for method of payment; and</w:t>
      </w:r>
    </w:p>
    <w:p>
      <w:pPr>
        <w:pBdr>
          <w:top w:space="5"/>
          <w:left w:space="5"/>
          <w:bottom w:space="5"/>
          <w:right w:space="5"/>
        </w:pBdr>
        <w:spacing w:after="0"/>
        <w:ind w:left="225"/>
        <w:jc w:val="left"/>
      </w:pPr>
      <w:r>
        <w:rPr>
          <w:rFonts w:ascii="Times New Roman" w:hAnsi="Times New Roman"/>
          <w:b w:val="false"/>
          <w:i w:val="false"/>
          <w:color w:val="000000"/>
          <w:sz w:val="22"/>
        </w:rPr>
        <w:t xml:space="preserve">(5) Ordering officers must complete all ordering officer and commercial purchase card training as required in the </w:t>
      </w:r>
      <w:hyperlink r:id="Rcb8aaa18481245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GPC</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submit a completed application, and coordinate with organization’s Program Manager to input applicable line of accounting to fund purchases made using the Ordering Officer commercial purchase card as method of payment.</w:t>
      </w:r>
    </w:p>
    <w:p>
      <w:pPr>
        <w:pBdr>
          <w:top w:space="5"/>
          <w:left w:space="5"/>
          <w:bottom w:space="5"/>
          <w:right w:space="5"/>
        </w:pBdr>
        <w:spacing w:after="0"/>
        <w:ind w:left="225"/>
        <w:jc w:val="left"/>
      </w:pPr>
      <w:r>
        <w:rPr>
          <w:rFonts w:ascii="Times New Roman" w:hAnsi="Times New Roman"/>
          <w:b w:val="false"/>
          <w:i w:val="false"/>
          <w:color w:val="000000"/>
          <w:sz w:val="22"/>
        </w:rPr>
        <w:t>(c) The appointing authority will instruct ordering officers in their Delegation of Procurement Authority</w:t>
      </w:r>
    </w:p>
    <w:p>
      <w:pPr>
        <w:pBdr>
          <w:top w:space="5"/>
          <w:left w:space="5"/>
          <w:bottom w:space="5"/>
          <w:right w:space="5"/>
        </w:pBdr>
        <w:spacing w:after="0"/>
        <w:ind w:left="225"/>
        <w:jc w:val="left"/>
      </w:pPr>
      <w:r>
        <w:rPr>
          <w:rFonts w:ascii="Times New Roman" w:hAnsi="Times New Roman"/>
          <w:b w:val="false"/>
          <w:i w:val="false"/>
          <w:color w:val="000000"/>
          <w:sz w:val="22"/>
        </w:rPr>
        <w:t>(1) What procedures to use to place orders;</w:t>
      </w:r>
    </w:p>
    <w:p>
      <w:pPr>
        <w:pBdr>
          <w:top w:space="5"/>
          <w:left w:space="5"/>
          <w:bottom w:space="5"/>
          <w:right w:space="5"/>
        </w:pBdr>
        <w:spacing w:after="0"/>
        <w:ind w:left="225"/>
        <w:jc w:val="left"/>
      </w:pPr>
      <w:r>
        <w:rPr>
          <w:rFonts w:ascii="Times New Roman" w:hAnsi="Times New Roman"/>
          <w:b w:val="false"/>
          <w:i w:val="false"/>
          <w:color w:val="000000"/>
          <w:sz w:val="22"/>
        </w:rPr>
        <w:t>(2) The standards of conduct for DISA personnel prescribed in the Joint Ethics Regulation (DoD 5500.7-R) and the procurement integrity provisions at FAR 3.104;</w:t>
      </w:r>
    </w:p>
    <w:p>
      <w:pPr>
        <w:pBdr>
          <w:top w:space="5"/>
          <w:left w:space="5"/>
          <w:bottom w:space="5"/>
          <w:right w:space="5"/>
        </w:pBdr>
        <w:spacing w:after="0"/>
        <w:ind w:left="225"/>
        <w:jc w:val="left"/>
      </w:pPr>
      <w:r>
        <w:rPr>
          <w:rFonts w:ascii="Times New Roman" w:hAnsi="Times New Roman"/>
          <w:b w:val="false"/>
          <w:i w:val="false"/>
          <w:color w:val="000000"/>
          <w:sz w:val="22"/>
        </w:rPr>
        <w:t>(3) The preparation and submission of information for contract action reporting purposes; and</w:t>
      </w:r>
    </w:p>
    <w:p>
      <w:pPr>
        <w:pBdr>
          <w:top w:space="5"/>
          <w:left w:space="5"/>
          <w:bottom w:space="5"/>
          <w:right w:space="5"/>
        </w:pBdr>
        <w:spacing w:after="0"/>
        <w:ind w:left="225"/>
        <w:jc w:val="left"/>
      </w:pPr>
      <w:r>
        <w:rPr>
          <w:rFonts w:ascii="Times New Roman" w:hAnsi="Times New Roman"/>
          <w:b w:val="false"/>
          <w:i w:val="false"/>
          <w:color w:val="000000"/>
          <w:sz w:val="22"/>
        </w:rPr>
        <w:t>(4) The requirement for an annual submission of the OGE 450, Confidential Financial Disclosure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Surveillance.</w:t>
      </w:r>
    </w:p>
    <w:p>
      <w:pPr>
        <w:pBdr>
          <w:top w:space="5"/>
          <w:left w:space="5"/>
          <w:bottom w:space="5"/>
          <w:right w:space="5"/>
        </w:pBdr>
        <w:spacing w:after="0"/>
        <w:ind w:left="225"/>
        <w:jc w:val="left"/>
      </w:pPr>
      <w:r>
        <w:rPr>
          <w:rFonts w:ascii="Times New Roman" w:hAnsi="Times New Roman"/>
          <w:b w:val="false"/>
          <w:i w:val="false"/>
          <w:color w:val="000000"/>
          <w:sz w:val="22"/>
        </w:rPr>
        <w:t>(1) Ordering officers, in excess of the micro-purchase threshold, will be subject to procurement management reviews (PMR) as specified in DARS 1.9001, as well as reviews conducted by the DISA Purchase Card (A/OPC);</w:t>
      </w:r>
    </w:p>
    <w:p>
      <w:pPr>
        <w:pBdr>
          <w:top w:space="5"/>
          <w:left w:space="5"/>
          <w:bottom w:space="5"/>
          <w:right w:space="5"/>
        </w:pBdr>
        <w:spacing w:after="0"/>
        <w:ind w:left="225"/>
        <w:jc w:val="left"/>
      </w:pPr>
      <w:r>
        <w:rPr>
          <w:rFonts w:ascii="Times New Roman" w:hAnsi="Times New Roman"/>
          <w:b w:val="false"/>
          <w:i w:val="false"/>
          <w:color w:val="000000"/>
          <w:sz w:val="22"/>
        </w:rPr>
        <w:t>(2) Ordering officers will retain copies of inspection and review findings in the ordering officer files; and,</w:t>
      </w:r>
    </w:p>
    <w:p>
      <w:pPr>
        <w:pBdr>
          <w:top w:space="5"/>
          <w:left w:space="5"/>
          <w:bottom w:space="5"/>
          <w:right w:space="5"/>
        </w:pBdr>
        <w:spacing w:after="0"/>
        <w:ind w:left="225"/>
        <w:jc w:val="left"/>
      </w:pPr>
      <w:r>
        <w:rPr>
          <w:rFonts w:ascii="Times New Roman" w:hAnsi="Times New Roman"/>
          <w:b w:val="false"/>
          <w:i w:val="false"/>
          <w:color w:val="000000"/>
          <w:sz w:val="22"/>
        </w:rPr>
        <w:t>(3) If the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225"/>
        <w:jc w:val="left"/>
      </w:pPr>
      <w:r>
        <w:rPr>
          <w:rFonts w:ascii="Times New Roman" w:hAnsi="Times New Roman"/>
          <w:b w:val="false"/>
          <w:i/>
          <w:color w:val="000000"/>
          <w:sz w:val="22"/>
        </w:rPr>
        <w:t>(e) Termination.</w:t>
      </w:r>
      <w:r>
        <w:rPr>
          <w:rFonts w:ascii="Times New Roman" w:hAnsi="Times New Roman"/>
          <w:b w:val="false"/>
          <w:i w:val="false"/>
          <w:color w:val="000000"/>
          <w:sz w:val="22"/>
        </w:rPr>
        <w:t xml:space="preserve"> An ordering officer appointment will remain in effect until the ordering officer leaves the position via reassignment or termination, or the appointing authority revokes the appointment in PIEE/JAM, which notifies the ordering officer cardholder in the system.</w:t>
      </w:r>
    </w:p>
    <w:p>
      <w:pPr>
        <w:pBdr>
          <w:top w:space="5"/>
          <w:left w:space="5"/>
          <w:bottom w:space="5"/>
          <w:right w:space="5"/>
        </w:pBdr>
        <w:spacing w:after="0"/>
        <w:ind w:left="225"/>
        <w:jc w:val="left"/>
      </w:pPr>
      <w:r>
        <w:rPr>
          <w:rFonts w:ascii="Times New Roman" w:hAnsi="Times New Roman"/>
          <w:b w:val="false"/>
          <w:i/>
          <w:color w:val="000000"/>
          <w:sz w:val="22"/>
        </w:rPr>
        <w:t>(f) Ordering officer appointments.</w:t>
      </w:r>
    </w:p>
    <w:p>
      <w:pPr>
        <w:pBdr>
          <w:top w:space="5"/>
          <w:left w:space="5"/>
          <w:bottom w:space="5"/>
          <w:right w:space="5"/>
        </w:pBdr>
        <w:spacing w:after="0"/>
        <w:ind w:left="225"/>
        <w:jc w:val="left"/>
      </w:pPr>
      <w:r>
        <w:rPr>
          <w:rFonts w:ascii="Times New Roman" w:hAnsi="Times New Roman"/>
          <w:b w:val="false"/>
          <w:i w:val="false"/>
          <w:color w:val="000000"/>
          <w:sz w:val="22"/>
        </w:rPr>
        <w:t>(1) The appointing authority will:</w:t>
      </w:r>
    </w:p>
    <w:p>
      <w:pPr>
        <w:pBdr>
          <w:top w:space="5"/>
          <w:left w:space="5"/>
          <w:bottom w:space="5"/>
          <w:right w:space="5"/>
        </w:pBdr>
        <w:spacing w:after="0"/>
        <w:ind w:left="225"/>
        <w:jc w:val="left"/>
      </w:pPr>
      <w:r>
        <w:rPr>
          <w:rFonts w:ascii="Times New Roman" w:hAnsi="Times New Roman"/>
          <w:b w:val="false"/>
          <w:i w:val="false"/>
          <w:color w:val="000000"/>
          <w:sz w:val="22"/>
        </w:rPr>
        <w:t>(i) Require individuals appointed as ordering officers to acknowledge receipt of their letters of appointment and termination in PIEE/JAM.</w:t>
      </w:r>
    </w:p>
    <w:p>
      <w:pPr>
        <w:pBdr>
          <w:top w:space="5"/>
          <w:left w:space="5"/>
          <w:bottom w:space="5"/>
          <w:right w:space="5"/>
        </w:pBdr>
        <w:spacing w:after="0"/>
        <w:ind w:left="225"/>
        <w:jc w:val="left"/>
      </w:pPr>
      <w:r>
        <w:rPr>
          <w:rFonts w:ascii="Times New Roman" w:hAnsi="Times New Roman"/>
          <w:b w:val="false"/>
          <w:i w:val="false"/>
          <w:color w:val="000000"/>
          <w:sz w:val="22"/>
        </w:rPr>
        <w:t>(ii) Review ordering officer applications and training certificates and reach out to the responsible HCO and /or CoCO, whose aligned CoCOs provide contracting support to a DISA mission partner, to obtain recommendations if ordering officer thresholds exceed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(iii) Designate all DISA micro-purchase GPC cardholders as ordering officers for placing micro-purchase threshold (MPT) fixed-price orders against existing contracts (e.g. General Services Administration Federal Supply Schedules, Blanket Purchase Agreements, and FedMall Contracts—excluding FedMall Market Place purchases); and</w:t>
      </w:r>
    </w:p>
    <w:p>
      <w:pPr>
        <w:pBdr>
          <w:top w:space="5"/>
          <w:left w:space="5"/>
          <w:bottom w:space="5"/>
          <w:right w:space="5"/>
        </w:pBdr>
        <w:spacing w:after="0"/>
        <w:ind w:left="225"/>
        <w:jc w:val="left"/>
      </w:pPr>
      <w:r>
        <w:rPr>
          <w:rFonts w:ascii="Times New Roman" w:hAnsi="Times New Roman"/>
          <w:b w:val="false"/>
          <w:i w:val="false"/>
          <w:color w:val="000000"/>
          <w:sz w:val="22"/>
        </w:rPr>
        <w:t>(iv) Maintain the file of appointments and justification for the appointments.</w:t>
      </w:r>
    </w:p>
    <!-- Created by docx4j 6.1.2 (Apache licensed) using REFERENCE JAXB in Oracle Java 15 on Linux -->
    <w:p>
      <w:pPr>
        <w:pStyle w:val="Heading3"/>
        <w:spacing w:after="199"/>
        <w:ind w:left="120"/>
        <w:jc w:val="left"/>
      </w:pPr>
      <w:bookmarkStart w:name="DARS_1.604" w:id="23"/>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3"/>
    </w:p>
    <w:p>
      <w:pPr>
        <w:pBdr>
          <w:top w:space="5"/>
          <w:left w:space="5"/>
          <w:bottom w:space="5"/>
          <w:right w:space="5"/>
        </w:pBdr>
        <w:spacing w:after="0"/>
        <w:ind w:left="225"/>
        <w:jc w:val="left"/>
      </w:pPr>
      <w:r>
        <w:rPr>
          <w:rFonts w:ascii="Times New Roman" w:hAnsi="Times New Roman"/>
          <w:b w:val="false"/>
          <w:i w:val="false"/>
          <w:color w:val="000000"/>
          <w:sz w:val="22"/>
        </w:rPr>
        <w:t>(S-90) COR is the only approved functional title for individuals performing the designated duties and responsibilities under this subpart in support of contract management.</w:t>
      </w:r>
    </w:p>
    <w:p>
      <w:pPr>
        <w:pBdr>
          <w:top w:space="5"/>
          <w:left w:space="5"/>
          <w:bottom w:space="5"/>
          <w:right w:space="5"/>
        </w:pBdr>
        <w:spacing w:after="0"/>
        <w:ind w:left="225"/>
        <w:jc w:val="left"/>
      </w:pPr>
      <w:r>
        <w:rPr>
          <w:rFonts w:ascii="Times New Roman" w:hAnsi="Times New Roman"/>
          <w:b w:val="false"/>
          <w:i w:val="false"/>
          <w:color w:val="000000"/>
          <w:sz w:val="22"/>
        </w:rP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All COR questions, issues, and concerns should be sent to the COR email address </w:t>
      </w:r>
      <w:hyperlink r:id="R4f531ea3e7be49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w:t>
        </w:r>
      </w:hyperlink>
      <w:hyperlink r:id="Ra2645d2777f046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Ft</w:t>
        </w:r>
      </w:hyperlink>
      <w:hyperlink r:id="R36834aa1b22f46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Meade DITCO Mailbox COR</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(S-92) Procurement Integrated Enterprise Environment (PIEE) and DISA and DoD Handbook</w:t>
      </w:r>
    </w:p>
    <w:p>
      <w:pPr>
        <w:pBdr>
          <w:top w:space="5"/>
          <w:left w:space="5"/>
          <w:bottom w:space="5"/>
          <w:right w:space="5"/>
        </w:pBdr>
        <w:spacing w:after="0"/>
        <w:ind w:left="225"/>
        <w:jc w:val="left"/>
      </w:pPr>
      <w:r>
        <w:rPr>
          <w:rFonts w:ascii="Times New Roman" w:hAnsi="Times New Roman"/>
          <w:b w:val="false"/>
          <w:i w:val="false"/>
          <w:color w:val="000000"/>
          <w:sz w:val="22"/>
        </w:rPr>
        <w:t>(1) The DISA Requirements Office shall use JAM, within PIEE, for COR appointments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 All candidates and active CORs shall use the JAM and the Surveillance and Performance Monitoring (SPM) module available at </w:t>
      </w:r>
      <w:hyperlink r:id="Ref86d412c1e241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https://piee.eb.mil/</w:t>
        </w:r>
      </w:hyperlink>
    </w:p>
    <w:p>
      <w:pPr>
        <w:pBdr>
          <w:top w:space="5"/>
          <w:left w:space="5"/>
          <w:bottom w:space="5"/>
          <w:right w:space="5"/>
        </w:pBdr>
        <w:spacing w:after="0"/>
        <w:ind w:left="225"/>
        <w:jc w:val="center"/>
      </w:pPr>
      <w:r>
        <w:rPr>
          <w:rFonts w:ascii="Times New Roman" w:hAnsi="Times New Roman"/>
          <w:b w:val="false"/>
          <w:i w:val="false"/>
          <w:color w:val="000000"/>
          <w:sz w:val="22"/>
        </w:rPr>
        <w:t xml:space="preserve">(3) DoD and DISA COR Handbooks are located at </w:t>
      </w:r>
      <w:r>
        <w:rPr>
          <w:rFonts w:ascii="Times New Roman" w:hAnsi="Times New Roman"/>
          <w:b w:val="false"/>
          <w:i w:val="false"/>
          <w:color w:val="000000"/>
          <w:sz w:val="22"/>
          <w:u w:val="single"/>
        </w:rPr>
        <w:t>https://www.ditco.disa.mil/hq/cor/index.asp</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1.90" w:id="24"/>
      <w:r>
        <w:rPr>
          <w:rFonts w:ascii="Times New Roman" w:hAnsi="Times New Roman"/>
          <w:color w:val="000000"/>
          <w:sz w:val="36"/>
        </w:rPr>
        <w:t>SUBPART 1.90</w:t>
      </w:r>
      <w:r>
        <w:rPr>
          <w:rFonts w:ascii="Times New Roman" w:hAnsi="Times New Roman"/>
          <w:color w:val="000000"/>
          <w:sz w:val="36"/>
        </w:rPr>
        <w:t xml:space="preserve"> — PROCUREMENT OVERSIGHT</w:t>
      </w:r>
      <w:bookmarkEnd w:id="24"/>
    </w:p>
    <w:p>
      <w:pPr>
        <w:spacing w:after="0"/>
        <w:ind w:left="120"/>
        <w:jc w:val="left"/>
      </w:pPr>
    </w:p>
    <!-- Created by docx4j 6.1.2 (Apache licensed) using REFERENCE JAXB in Oracle Java 15 on Linux -->
    <w:p>
      <w:pPr>
        <w:pStyle w:val="Heading3"/>
        <w:spacing w:after="199"/>
        <w:ind w:left="120"/>
        <w:jc w:val="left"/>
      </w:pPr>
      <w:bookmarkStart w:name="DARS_1.9000" w:id="25"/>
      <w:r>
        <w:rPr>
          <w:rFonts w:ascii="Times New Roman" w:hAnsi="Times New Roman"/>
          <w:color w:val="000000"/>
          <w:sz w:val="31"/>
        </w:rPr>
        <w:t>1.9000</w:t>
      </w:r>
      <w:r>
        <w:rPr>
          <w:rFonts w:ascii="Times New Roman" w:hAnsi="Times New Roman"/>
          <w:color w:val="000000"/>
          <w:sz w:val="31"/>
        </w:rPr>
        <w:t xml:space="preserve"> Review and approval of contract actions.</w:t>
      </w:r>
      <w:bookmarkEnd w:id="25"/>
    </w:p>
    <w:p>
      <w:pPr>
        <w:pBdr>
          <w:top w:space="5"/>
          <w:left w:space="5"/>
          <w:bottom w:space="5"/>
          <w:right w:space="5"/>
        </w:pBdr>
        <w:spacing w:after="0"/>
        <w:ind w:left="225"/>
        <w:jc w:val="left"/>
      </w:pPr>
      <w:r>
        <w:rPr>
          <w:rFonts w:ascii="Times New Roman" w:hAnsi="Times New Roman"/>
          <w:b w:val="false"/>
          <w:i/>
          <w:color w:val="000000"/>
          <w:sz w:val="22"/>
        </w:rPr>
        <w:t>(a) Definitions.</w:t>
      </w:r>
    </w:p>
    <w:p>
      <w:pPr>
        <w:pBdr>
          <w:top w:space="5"/>
          <w:left w:space="5"/>
          <w:bottom w:space="5"/>
          <w:right w:space="5"/>
        </w:pBdr>
        <w:spacing w:after="0"/>
        <w:ind w:left="225"/>
        <w:jc w:val="left"/>
      </w:pPr>
      <w:r>
        <w:rPr>
          <w:rFonts w:ascii="Times New Roman" w:hAnsi="Times New Roman"/>
          <w:b w:val="false"/>
          <w:i/>
          <w:color w:val="000000"/>
          <w:sz w:val="22"/>
        </w:rPr>
        <w:t>Contract Decision Authority (CDA)</w:t>
      </w:r>
      <w:r>
        <w:rPr>
          <w:rFonts w:ascii="Times New Roman" w:hAnsi="Times New Roman"/>
          <w:b w:val="false"/>
          <w:i w:val="false"/>
          <w:color w:val="000000"/>
          <w:sz w:val="22"/>
        </w:rPr>
        <w:t xml:space="preserve"> means the individuals delegated the authority to review and approve contract actions and contract approvals.</w:t>
      </w:r>
    </w:p>
    <w:p>
      <w:pPr>
        <w:pBdr>
          <w:top w:space="5"/>
          <w:left w:space="5"/>
          <w:bottom w:space="5"/>
          <w:right w:space="5"/>
        </w:pBdr>
        <w:spacing w:after="0"/>
        <w:ind w:left="225"/>
        <w:jc w:val="left"/>
      </w:pPr>
      <w:r>
        <w:rPr>
          <w:rFonts w:ascii="Times New Roman" w:hAnsi="Times New Roman"/>
          <w:b w:val="false"/>
          <w:i/>
          <w:color w:val="000000"/>
          <w:sz w:val="22"/>
        </w:rPr>
        <w:t>Contract Approval</w:t>
      </w:r>
      <w:r>
        <w:rPr>
          <w:rFonts w:ascii="Times New Roman" w:hAnsi="Times New Roman"/>
          <w:b w:val="false"/>
          <w:i w:val="false"/>
          <w:color w:val="000000"/>
          <w:sz w:val="22"/>
        </w:rPr>
        <w:t xml:space="preserve"> means for competitive acquisitions conducted with or without discussions, approval by the Contract Decision Authority (CDA) or Source Selection Authority (SSA) to authorize the contracting officer to award a contract or order.</w:t>
      </w:r>
    </w:p>
    <w:p>
      <w:pPr>
        <w:pBdr>
          <w:top w:space="5"/>
          <w:left w:space="5"/>
          <w:bottom w:space="5"/>
          <w:right w:space="5"/>
        </w:pBdr>
        <w:spacing w:after="0"/>
        <w:ind w:left="225"/>
        <w:jc w:val="left"/>
      </w:pPr>
      <w:r>
        <w:rPr>
          <w:rFonts w:ascii="Times New Roman" w:hAnsi="Times New Roman"/>
          <w:b w:val="false"/>
          <w:i/>
          <w:color w:val="000000"/>
          <w:sz w:val="22"/>
        </w:rPr>
        <w:t>(b) Exclusions.</w:t>
      </w:r>
    </w:p>
    <w:p>
      <w:pPr>
        <w:pBdr>
          <w:top w:space="5"/>
          <w:left w:space="5"/>
          <w:bottom w:space="5"/>
          <w:right w:space="5"/>
        </w:pBdr>
        <w:spacing w:after="0"/>
        <w:ind w:left="225"/>
        <w:jc w:val="left"/>
      </w:pPr>
      <w:r>
        <w:rPr>
          <w:rFonts w:ascii="Times New Roman" w:hAnsi="Times New Roman"/>
          <w:b w:val="false"/>
          <w:i w:val="false"/>
          <w:color w:val="000000"/>
          <w:sz w:val="22"/>
        </w:rPr>
        <w:t>(1) An extension modification or contract award as a result of a protest.</w:t>
      </w:r>
    </w:p>
    <w:p>
      <w:pPr>
        <w:pBdr>
          <w:top w:space="5"/>
          <w:left w:space="5"/>
          <w:bottom w:space="5"/>
          <w:right w:space="5"/>
        </w:pBdr>
        <w:spacing w:after="0"/>
        <w:ind w:left="225"/>
        <w:jc w:val="left"/>
      </w:pPr>
      <w:r>
        <w:rPr>
          <w:rFonts w:ascii="Times New Roman" w:hAnsi="Times New Roman"/>
          <w:b w:val="false"/>
          <w:i w:val="false"/>
          <w:color w:val="000000"/>
          <w:sz w:val="22"/>
        </w:rPr>
        <w:t>(2) An order issued against an existing contract, BOA or BPA if:</w:t>
      </w:r>
    </w:p>
    <w:p>
      <w:pPr>
        <w:pBdr>
          <w:top w:space="5"/>
          <w:left w:space="5"/>
          <w:bottom w:space="5"/>
          <w:right w:space="5"/>
        </w:pBdr>
        <w:spacing w:after="0"/>
        <w:ind w:left="225"/>
        <w:jc w:val="left"/>
      </w:pPr>
      <w:r>
        <w:rPr>
          <w:rFonts w:ascii="Times New Roman" w:hAnsi="Times New Roman"/>
          <w:b w:val="false"/>
          <w:i w:val="false"/>
          <w:color w:val="000000"/>
          <w:sz w:val="22"/>
        </w:rPr>
        <w:t>(i) Prices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 All other terms and conditions have been established in the basic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(iii) The basic contract, BOA or BPA was reviewed and found legally sufficient; and</w:t>
      </w:r>
    </w:p>
    <w:p>
      <w:pPr>
        <w:pBdr>
          <w:top w:space="5"/>
          <w:left w:space="5"/>
          <w:bottom w:space="5"/>
          <w:right w:space="5"/>
        </w:pBdr>
        <w:spacing w:after="0"/>
        <w:ind w:left="225"/>
        <w:jc w:val="left"/>
      </w:pPr>
      <w:r>
        <w:rPr>
          <w:rFonts w:ascii="Times New Roman" w:hAnsi="Times New Roman"/>
          <w:b w:val="false"/>
          <w:i w:val="false"/>
          <w:color w:val="000000"/>
          <w:sz w:val="22"/>
        </w:rPr>
        <w:t>(iv) There are no negotiations (i.e., no proposal, formal or informal, is necessary for the order to be issued) involved in the award of the proposed order under the indefinite delivery contract, BOA or BPA.</w:t>
      </w:r>
    </w:p>
    <w:p>
      <w:pPr>
        <w:pBdr>
          <w:top w:space="5"/>
          <w:left w:space="5"/>
          <w:bottom w:space="5"/>
          <w:right w:space="5"/>
        </w:pBdr>
        <w:spacing w:after="0"/>
        <w:ind w:left="225"/>
        <w:jc w:val="left"/>
      </w:pPr>
      <w:r>
        <w:rPr>
          <w:rFonts w:ascii="Times New Roman" w:hAnsi="Times New Roman"/>
          <w:b w:val="false"/>
          <w:i w:val="false"/>
          <w:color w:val="000000"/>
          <w:sz w:val="22"/>
        </w:rPr>
        <w:t>(3) The order is issued against a single award contract, BOA or BPA.</w:t>
      </w:r>
    </w:p>
    <w:p>
      <w:pPr>
        <w:pBdr>
          <w:top w:space="5"/>
          <w:left w:space="5"/>
          <w:bottom w:space="5"/>
          <w:right w:space="5"/>
        </w:pBdr>
        <w:spacing w:after="0"/>
        <w:ind w:left="225"/>
        <w:jc w:val="left"/>
      </w:pPr>
      <w:r>
        <w:rPr>
          <w:rFonts w:ascii="Times New Roman" w:hAnsi="Times New Roman"/>
          <w:b w:val="false"/>
          <w:i w:val="false"/>
          <w:color w:val="000000"/>
          <w:sz w:val="22"/>
        </w:rPr>
        <w:t xml:space="preserve">(4) Inquiries issued in accordance with the </w:t>
      </w:r>
      <w:hyperlink r:id="R223f583c91bf48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Inquiry/Quote/Order (IQO) Acquisition</w:t>
        </w:r>
        <w:r>
          <w:rPr>
            <w:rFonts w:ascii="Times New Roman" w:hAnsi="Times New Roman"/>
            <w:b w:val="false"/>
            <w:i w:val="false"/>
            <w:color w:val="0000ff"/>
            <w:sz w:val="22"/>
            <w:u w:val="single"/>
          </w:rPr>
          <w:t>Deskbook</w:t>
        </w:r>
      </w:hyperlink>
      <w:r>
        <w:rPr>
          <w:rFonts w:ascii="Times New Roman" w:hAnsi="Times New Roman"/>
          <w:b w:val="false"/>
          <w:i w:val="false"/>
          <w:color w:val="000000"/>
          <w:sz w:val="22"/>
        </w:rPr>
        <w:t>. However, Orders issued as a result of the inquiries, are not excluded from the contract review and approval.</w:t>
      </w:r>
    </w:p>
    <w:p>
      <w:pPr>
        <w:pBdr>
          <w:top w:space="5"/>
          <w:left w:space="5"/>
          <w:bottom w:space="5"/>
          <w:right w:space="5"/>
        </w:pBdr>
        <w:spacing w:after="0"/>
        <w:ind w:left="225"/>
        <w:jc w:val="left"/>
      </w:pPr>
      <w:r>
        <w:rPr>
          <w:rFonts w:ascii="Times New Roman" w:hAnsi="Times New Roman"/>
          <w:b w:val="false"/>
          <w:i w:val="false"/>
          <w:color w:val="000000"/>
          <w:sz w:val="22"/>
        </w:rPr>
        <w:t>(5) Contract actions that solely provide incremental funding, incentive fee funding, award fee funding, or other administrative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(6) Priced options that were previously established in the basic contract/order and that are exercised in accordance with the established prices and terms and conditions of the contract/order.</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Procurement actions are subject to various review levels and thresholds as set forth below.</w:t>
      </w:r>
    </w:p>
    <w:p>
      <w:pPr>
        <w:pBdr>
          <w:top w:space="5"/>
          <w:left w:space="5"/>
          <w:bottom w:space="5"/>
          <w:right w:space="5"/>
        </w:pBdr>
        <w:spacing w:after="0"/>
        <w:ind w:left="225"/>
        <w:jc w:val="left"/>
      </w:pPr>
      <w:r>
        <w:rPr>
          <w:rFonts w:ascii="Times New Roman" w:hAnsi="Times New Roman"/>
          <w:b w:val="false"/>
          <w:i w:val="false"/>
          <w:color w:val="000000"/>
          <w:sz w:val="22"/>
        </w:rPr>
        <w:t>Note: HCOs and CoCOs are accountable for procurement quality. HCOs and CoCOs will establish an internal review, self-inspection program to review contract files not less than annually to ensure quality standards are maintained for all procurement actions within their respective offices, including simplified acquisitions. The HCO and/or CoCO is responsible for identifying the quality control measures implemented for the DITCO in the Manager's Internal Control Program. The results of the quality inspections will be provided to PL2 for trend analysis, training purposes, and future PMRs.</w:t>
      </w:r>
    </w:p>
    <w:p>
      <w:pPr>
        <w:pBdr>
          <w:top w:space="5"/>
          <w:left w:space="5"/>
          <w:bottom w:space="5"/>
          <w:right w:space="5"/>
        </w:pBdr>
        <w:spacing w:after="0"/>
        <w:ind w:left="225"/>
        <w:jc w:val="left"/>
      </w:pPr>
      <w:r>
        <w:rPr>
          <w:rFonts w:ascii="Times New Roman" w:hAnsi="Times New Roman"/>
          <w:b w:val="false"/>
          <w:i w:val="false"/>
          <w:color w:val="000000"/>
          <w:sz w:val="22"/>
        </w:rPr>
        <w:t>(1) The objectives of the review and approval process are to ensure that:</w:t>
      </w:r>
    </w:p>
    <w:p>
      <w:pPr>
        <w:pBdr>
          <w:top w:space="5"/>
          <w:left w:space="5"/>
          <w:bottom w:space="5"/>
          <w:right w:space="5"/>
        </w:pBdr>
        <w:spacing w:after="0"/>
        <w:ind w:left="225"/>
        <w:jc w:val="left"/>
      </w:pPr>
      <w:r>
        <w:rPr>
          <w:rFonts w:ascii="Times New Roman" w:hAnsi="Times New Roman"/>
          <w:b w:val="false"/>
          <w:i w:val="false"/>
          <w:color w:val="000000"/>
          <w:sz w:val="22"/>
        </w:rPr>
        <w:t>(i) Contract actions effectively implement approved acquisition strategies;</w:t>
      </w:r>
    </w:p>
    <w:p>
      <w:pPr>
        <w:pBdr>
          <w:top w:space="5"/>
          <w:left w:space="5"/>
          <w:bottom w:space="5"/>
          <w:right w:space="5"/>
        </w:pBdr>
        <w:spacing w:after="0"/>
        <w:ind w:left="225"/>
        <w:jc w:val="left"/>
      </w:pPr>
      <w:r>
        <w:rPr>
          <w:rFonts w:ascii="Times New Roman" w:hAnsi="Times New Roman"/>
          <w:b w:val="false"/>
          <w:i w:val="false"/>
          <w:color w:val="000000"/>
          <w:sz w:val="22"/>
        </w:rPr>
        <w:t>(ii) Negotiations and contract actions result in fair and reasonable business arrangements;</w:t>
      </w:r>
    </w:p>
    <w:p>
      <w:pPr>
        <w:pBdr>
          <w:top w:space="5"/>
          <w:left w:space="5"/>
          <w:bottom w:space="5"/>
          <w:right w:space="5"/>
        </w:pBdr>
        <w:spacing w:after="0"/>
        <w:ind w:left="225"/>
        <w:jc w:val="left"/>
      </w:pPr>
      <w:r>
        <w:rPr>
          <w:rFonts w:ascii="Times New Roman" w:hAnsi="Times New Roman"/>
          <w:b w:val="false"/>
          <w:i w:val="false"/>
          <w:color w:val="000000"/>
          <w:sz w:val="22"/>
        </w:rPr>
        <w:t>(iii) Negotiations and contract actions are consistent with laws, regulations, and policies; and,</w:t>
      </w:r>
    </w:p>
    <w:p>
      <w:pPr>
        <w:pBdr>
          <w:top w:space="5"/>
          <w:left w:space="5"/>
          <w:bottom w:space="5"/>
          <w:right w:space="5"/>
        </w:pBdr>
        <w:spacing w:after="0"/>
        <w:ind w:left="225"/>
        <w:jc w:val="left"/>
      </w:pPr>
      <w:r>
        <w:rPr>
          <w:rFonts w:ascii="Times New Roman" w:hAnsi="Times New Roman"/>
          <w:b w:val="false"/>
          <w:i w:val="false"/>
          <w:color w:val="000000"/>
          <w:sz w:val="22"/>
        </w:rPr>
        <w:t>(iv) An independent review and assessment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 xml:space="preserve">(2) Contract actions meeting the contract value thresholds set in </w:t>
      </w:r>
      <w:hyperlink r:id="R3c03519821c14b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1.9000(c)(2) shall not be awarded without obtaining the required review 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General Counsel (GC)/Legal and Policy Compliance</w:t>
      </w:r>
      <w:r>
        <w:rPr>
          <w:rFonts w:ascii="Times New Roman" w:hAnsi="Times New Roman"/>
          <w:b w:val="false"/>
          <w:i/>
          <w:color w:val="000000"/>
          <w:sz w:val="22"/>
        </w:rPr>
        <w:t>Reviews.</w:t>
      </w:r>
    </w:p>
    <w:p>
      <w:pPr>
        <w:pBdr>
          <w:top w:space="5"/>
          <w:left w:space="5"/>
          <w:bottom w:space="5"/>
          <w:right w:space="5"/>
        </w:pBdr>
        <w:spacing w:after="0"/>
        <w:ind w:left="225"/>
        <w:jc w:val="left"/>
      </w:pPr>
      <w:r>
        <w:rPr>
          <w:rFonts w:ascii="Times New Roman" w:hAnsi="Times New Roman"/>
          <w:b w:val="false"/>
          <w:i w:val="false"/>
          <w:color w:val="000000"/>
          <w:sz w:val="22"/>
        </w:rPr>
        <w:t>(1) Legal (GC) and Policy Compliance (PL22) reviews shall be obtained prior to submission to the CDA/SSA.</w:t>
      </w:r>
    </w:p>
    <w:p>
      <w:pPr>
        <w:pBdr>
          <w:top w:space="5"/>
          <w:left w:space="5"/>
          <w:bottom w:space="5"/>
          <w:right w:space="5"/>
        </w:pBdr>
        <w:spacing w:after="0"/>
        <w:ind w:left="225"/>
        <w:jc w:val="left"/>
      </w:pPr>
      <w:r>
        <w:rPr>
          <w:rFonts w:ascii="Times New Roman" w:hAnsi="Times New Roman"/>
          <w:b w:val="false"/>
          <w:i w:val="false"/>
          <w:color w:val="000000"/>
          <w:sz w:val="22"/>
        </w:rPr>
        <w:t>(i) Legal and Policy Compliance review thresholds. PL8 (non-telecommunications): $10M for task orders, $10M for supplies / hardware, and $6.5M for all other procurement actions; PLA, PL5, PL7 and PL8 (telecommunications): $6.5M for all procurement actions. PL6: $6.5M for Legal reviews, see DARS PGI 1.9000(d)(5) for compliance reviews. All broad agency announcements (BAA) require legal review.</w:t>
      </w:r>
    </w:p>
    <w:p>
      <w:pPr>
        <w:pBdr>
          <w:top w:space="5"/>
          <w:left w:space="5"/>
          <w:bottom w:space="5"/>
          <w:right w:space="5"/>
        </w:pBdr>
        <w:spacing w:after="0"/>
        <w:ind w:left="225"/>
        <w:jc w:val="left"/>
      </w:pPr>
      <w:r>
        <w:rPr>
          <w:rFonts w:ascii="Times New Roman" w:hAnsi="Times New Roman"/>
          <w:b w:val="false"/>
          <w:i w:val="false"/>
          <w:color w:val="000000"/>
          <w:sz w:val="22"/>
        </w:rPr>
        <w:t>(ii) Legal and Policy reviews of contracts and task orders using the trade-off evaluation method, regardless of dollar value, are highly encouraged.</w:t>
      </w:r>
    </w:p>
    <w:p>
      <w:pPr>
        <w:pBdr>
          <w:top w:space="5"/>
          <w:left w:space="5"/>
          <w:bottom w:space="5"/>
          <w:right w:space="5"/>
        </w:pBdr>
        <w:spacing w:after="0"/>
        <w:ind w:left="225"/>
        <w:jc w:val="left"/>
      </w:pPr>
      <w:r>
        <w:rPr>
          <w:rFonts w:ascii="Times New Roman" w:hAnsi="Times New Roman"/>
          <w:b w:val="false"/>
          <w:i w:val="false"/>
          <w:color w:val="000000"/>
          <w:sz w:val="22"/>
        </w:rPr>
        <w:t>Legal and Policy reviews can be requested by a contracting officer, CoCO, HCO, or HCA at lower dollar thresholds or for special interest procurements.</w:t>
      </w:r>
    </w:p>
    <w:p>
      <w:pPr>
        <w:pBdr>
          <w:top w:space="5"/>
          <w:left w:space="5"/>
          <w:bottom w:space="5"/>
          <w:right w:space="5"/>
        </w:pBdr>
        <w:spacing w:after="0"/>
        <w:ind w:left="225"/>
        <w:jc w:val="left"/>
      </w:pPr>
      <w:r>
        <w:rPr>
          <w:rFonts w:ascii="Times New Roman" w:hAnsi="Times New Roman"/>
          <w:b w:val="false"/>
          <w:i w:val="false"/>
          <w:color w:val="000000"/>
          <w:sz w:val="22"/>
        </w:rPr>
        <w:t>(2) At a minimum, the contracting officer must review the contract file/documentation prior to requesting a legal and policy compliance review. Also, the contract file must be reviewed at 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pPr>
        <w:pBdr>
          <w:top w:space="5"/>
          <w:left w:space="5"/>
          <w:bottom w:space="5"/>
          <w:right w:space="5"/>
        </w:pBdr>
        <w:spacing w:after="0"/>
        <w:ind w:left="225"/>
        <w:jc w:val="left"/>
      </w:pPr>
      <w:r>
        <w:rPr>
          <w:rFonts w:ascii="Times New Roman" w:hAnsi="Times New Roman"/>
          <w:b w:val="false"/>
          <w:i w:val="false"/>
          <w:color w:val="000000"/>
          <w:sz w:val="22"/>
        </w:rPr>
        <w:t>(3) Legal and Policy compliance reviews should be requested concurrently. Legal and Policy reviews will be accomplished in four (4) business days. Additional business days may be required to review substantial/numerous documents.</w:t>
      </w:r>
    </w:p>
    <w:p>
      <w:pPr>
        <w:pBdr>
          <w:top w:space="5"/>
          <w:left w:space="5"/>
          <w:bottom w:space="5"/>
          <w:right w:space="5"/>
        </w:pBdr>
        <w:spacing w:after="0"/>
        <w:ind w:left="225"/>
        <w:jc w:val="left"/>
      </w:pPr>
      <w:r>
        <w:rPr>
          <w:rFonts w:ascii="Times New Roman" w:hAnsi="Times New Roman"/>
          <w:b w:val="false"/>
          <w:i w:val="false"/>
          <w:color w:val="000000"/>
          <w:sz w:val="22"/>
        </w:rPr>
        <w:t>(i) When Legal or Policy reviews indicate non-compliance with laws, regulations or policies (e.g., a Policy Finding or a GC legally insufficient finding), the contracting officer will revise the procurement documents in collaboration with the assigned attorney-advisor and/or procurement analyst. Legal will copy the CoCO on e-mails which notify a contracting officer of legally insufficient findings, and Policy will copy the CoCO on e-mails which notify a contracting officer of compliance review Findings. A procurement document shall not be released until legally insufficient or compliance review Findings are adjudicated.</w:t>
      </w:r>
    </w:p>
    <w:p>
      <w:pPr>
        <w:pBdr>
          <w:top w:space="5"/>
          <w:left w:space="5"/>
          <w:bottom w:space="5"/>
          <w:right w:space="5"/>
        </w:pBdr>
        <w:spacing w:after="0"/>
        <w:ind w:left="225"/>
        <w:jc w:val="left"/>
      </w:pPr>
      <w:r>
        <w:rPr>
          <w:rFonts w:ascii="Times New Roman" w:hAnsi="Times New Roman"/>
          <w:b w:val="false"/>
          <w:i w:val="false"/>
          <w:color w:val="000000"/>
          <w:sz w:val="22"/>
        </w:rPr>
        <w:t>(ii) While changes are expected to be professionally resolved at the lowest possible level, disagreements may be elevated above the contracting officer, through Section and Branch Chiefs to the CoCO, the HCO, and ultimately to the HCA. Legal issues may be elevated to the Deputy General Counsel (Acquisition &amp; Procurement).</w:t>
      </w:r>
    </w:p>
    <w:p>
      <w:pPr>
        <w:pBdr>
          <w:top w:space="5"/>
          <w:left w:space="5"/>
          <w:bottom w:space="5"/>
          <w:right w:space="5"/>
        </w:pBdr>
        <w:spacing w:after="0"/>
        <w:ind w:left="225"/>
        <w:jc w:val="left"/>
      </w:pPr>
      <w:r>
        <w:rPr>
          <w:rFonts w:ascii="Times New Roman" w:hAnsi="Times New Roman"/>
          <w:b w:val="false"/>
          <w:i w:val="false"/>
          <w:color w:val="000000"/>
          <w:sz w:val="22"/>
        </w:rPr>
        <w:t>(4) Policy compliance (PL22) reviews --</w:t>
      </w:r>
    </w:p>
    <w:p>
      <w:pPr>
        <w:pBdr>
          <w:top w:space="5"/>
          <w:left w:space="5"/>
          <w:bottom w:space="5"/>
          <w:right w:space="5"/>
        </w:pBdr>
        <w:spacing w:after="0"/>
        <w:ind w:left="225"/>
        <w:jc w:val="left"/>
      </w:pPr>
      <w:r>
        <w:rPr>
          <w:rFonts w:ascii="Times New Roman" w:hAnsi="Times New Roman"/>
          <w:b w:val="false"/>
          <w:i w:val="false"/>
          <w:color w:val="000000"/>
          <w:sz w:val="22"/>
        </w:rPr>
        <w:t>(i) Requests for Policy compliance review shall be sent via email to the “</w:t>
      </w:r>
      <w:hyperlink r:id="R5039ac1b82364c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PLD Mailbox PL22 Policy Compliance Review</w:t>
        </w:r>
      </w:hyperlink>
      <w:r>
        <w:rPr>
          <w:rFonts w:ascii="Times New Roman" w:hAnsi="Times New Roman"/>
          <w:b w:val="false"/>
          <w:i w:val="false"/>
          <w:color w:val="000000"/>
          <w:sz w:val="22"/>
        </w:rPr>
        <w:t>” group mailbox. The following standard subject line format shall be used: “[insert Office Code (i.e., PLX)], [insert “Pre-Solicitation”, “Pre-Award” or “Post-Award,” as appropriate] Policy Compliance Review Request, [insert solicitation, contract/modification, or order/modification number].” Urgent requests for review must also include “Expedite” in the subject line and shall be forwarded to the PL22 group mailbox by the CoCO. Pertinent information needed to assist the PL22 Policy compliance reviewers should be included in the body of the e-mail. For example, provide the EDMS folder ID number*, document identifier/description, indicate if a policy compliance review was accomplished at a previous stage of the procurement (and if so, the solicitation number), provide the estimated dollar value of the procurement, etc. See Table 1-5 for a list of required documents</w:t>
      </w:r>
      <w:r>
        <w:rPr>
          <w:rFonts w:ascii="Times New Roman" w:hAnsi="Times New Roman"/>
          <w:b/>
          <w:i w:val="false"/>
          <w:color w:val="000000"/>
          <w:sz w:val="22"/>
        </w:rPr>
        <w:t>.</w:t>
      </w:r>
      <w:r>
        <w:rPr>
          <w:rFonts w:ascii="Times New Roman" w:hAnsi="Times New Roman"/>
          <w:b w:val="false"/>
          <w:i w:val="false"/>
          <w:color w:val="000000"/>
          <w:sz w:val="22"/>
        </w:rPr>
        <w:t xml:space="preserve"> Documents may be submitted as attachments to the email if not available in EDMS.</w:t>
      </w:r>
    </w:p>
    <w:p>
      <w:pPr>
        <w:pBdr>
          <w:top w:space="5"/>
          <w:left w:space="5"/>
          <w:bottom w:space="5"/>
          <w:right w:space="5"/>
        </w:pBdr>
        <w:spacing w:after="0"/>
        <w:ind w:left="225"/>
        <w:jc w:val="left"/>
      </w:pPr>
      <w:r>
        <w:rPr>
          <w:rFonts w:ascii="Times New Roman" w:hAnsi="Times New Roman"/>
          <w:b w:val="false"/>
          <w:i w:val="false"/>
          <w:color w:val="000000"/>
          <w:sz w:val="22"/>
        </w:rPr>
        <w:t>*Note: The EDMS folder identifier must be included.</w:t>
      </w:r>
    </w:p>
    <w:p>
      <w:pPr>
        <w:pBdr>
          <w:top w:space="5"/>
          <w:left w:space="5"/>
          <w:bottom w:space="5"/>
          <w:right w:space="5"/>
        </w:pBdr>
        <w:spacing w:after="0"/>
        <w:ind w:left="225"/>
        <w:jc w:val="left"/>
      </w:pPr>
      <w:r>
        <w:rPr>
          <w:rFonts w:ascii="Times New Roman" w:hAnsi="Times New Roman"/>
          <w:b w:val="false"/>
          <w:i w:val="false"/>
          <w:color w:val="000000"/>
          <w:sz w:val="22"/>
        </w:rPr>
        <w:t>(ii) In circumstances where the contracting officer finds it necessary to proceed with issuing a solicitation or awarding a contract action prior to obtaining a PL22 Policy compliance review as required by the DARS, the contracting officer shall obtain a written waiver from the CoCO. The waiver shall be retained in the official contract file. Prior to requesting a waiver, the Contracting Officer shall consider a targeted review of critical documents or portion of the contract file.</w:t>
      </w:r>
    </w:p>
    <w:p>
      <w:pPr>
        <w:pBdr>
          <w:top w:space="5"/>
          <w:left w:space="5"/>
          <w:bottom w:space="5"/>
          <w:right w:space="5"/>
        </w:pBdr>
        <w:spacing w:after="0"/>
        <w:ind w:left="225"/>
        <w:jc w:val="left"/>
      </w:pPr>
      <w:r>
        <w:rPr>
          <w:rFonts w:ascii="Times New Roman" w:hAnsi="Times New Roman"/>
          <w:b w:val="false"/>
          <w:i w:val="false"/>
          <w:color w:val="000000"/>
          <w:sz w:val="22"/>
        </w:rPr>
        <w:t>(iii) Each Policy review comment will be listed under one of the following categories: Observation, Finding, Recommendation, or Commendation. Below are the definitions of each category:</w:t>
      </w:r>
    </w:p>
    <w:p>
      <w:pPr>
        <w:pBdr>
          <w:top w:space="5"/>
          <w:left w:space="5"/>
          <w:bottom w:space="5"/>
          <w:right w:space="5"/>
        </w:pBdr>
        <w:spacing w:after="0"/>
        <w:ind w:left="225"/>
        <w:jc w:val="left"/>
      </w:pPr>
      <w:r>
        <w:rPr>
          <w:rFonts w:ascii="Times New Roman" w:hAnsi="Times New Roman"/>
          <w:b w:val="false"/>
          <w:i w:val="false"/>
          <w:color w:val="000000"/>
          <w:sz w:val="22"/>
        </w:rPr>
        <w:t>(A) 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 etc.</w:t>
      </w:r>
    </w:p>
    <w:p>
      <w:pPr>
        <w:pBdr>
          <w:top w:space="5"/>
          <w:left w:space="5"/>
          <w:bottom w:space="5"/>
          <w:right w:space="5"/>
        </w:pBdr>
        <w:spacing w:after="0"/>
        <w:ind w:left="225"/>
        <w:jc w:val="left"/>
      </w:pPr>
      <w:r>
        <w:rPr>
          <w:rFonts w:ascii="Times New Roman" w:hAnsi="Times New Roman"/>
          <w:b w:val="false"/>
          <w:i w:val="false"/>
          <w:color w:val="000000"/>
          <w:sz w:val="22"/>
        </w:rP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PL22 documenting the Finding and the documented disposition by the Contracting Officer shall be filed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w:pPr>
        <w:pBdr>
          <w:top w:space="5"/>
          <w:left w:space="5"/>
          <w:bottom w:space="5"/>
          <w:right w:space="5"/>
        </w:pBdr>
        <w:spacing w:after="0"/>
        <w:ind w:left="225"/>
        <w:jc w:val="left"/>
      </w:pPr>
      <w:r>
        <w:rPr>
          <w:rFonts w:ascii="Times New Roman" w:hAnsi="Times New Roman"/>
          <w:b w:val="false"/>
          <w:i w:val="false"/>
          <w:color w:val="000000"/>
          <w:sz w:val="22"/>
        </w:rPr>
        <w:t>(D) Commendation: Validated procedures, actions or examples with supportable documentation which can generally been accepted as superior to other alternatives, or “standards” over-and-above what is merely required.</w:t>
      </w:r>
    </w:p>
    <w:p>
      <w:pPr>
        <w:pBdr>
          <w:top w:space="5"/>
          <w:left w:space="5"/>
          <w:bottom w:space="5"/>
          <w:right w:space="5"/>
        </w:pBdr>
        <w:spacing w:after="0"/>
        <w:ind w:left="225"/>
        <w:jc w:val="left"/>
      </w:pPr>
      <w:r>
        <w:rPr>
          <w:rFonts w:ascii="Times New Roman" w:hAnsi="Times New Roman"/>
          <w:b w:val="false"/>
          <w:i w:val="false"/>
          <w:color w:val="000000"/>
          <w:sz w:val="22"/>
        </w:rPr>
        <w:t>(5) PL6 Reviews see DARS PGI 1.9000(d)(5).</w:t>
      </w:r>
    </w:p>
    <w:p>
      <w:pPr>
        <w:pBdr>
          <w:top w:space="5"/>
          <w:left w:space="5"/>
          <w:bottom w:space="5"/>
          <w:right w:space="5"/>
        </w:pBdr>
        <w:spacing w:after="0"/>
        <w:ind w:left="225"/>
        <w:jc w:val="left"/>
      </w:pPr>
      <w:r>
        <w:rPr>
          <w:rFonts w:ascii="Times New Roman" w:hAnsi="Times New Roman"/>
          <w:b w:val="false"/>
          <w:i w:val="false"/>
          <w:color w:val="000000"/>
          <w:sz w:val="22"/>
        </w:rPr>
        <w:t>(6) Legal (GC) reviews ---</w:t>
      </w:r>
    </w:p>
    <w:p>
      <w:pPr>
        <w:pBdr>
          <w:top w:space="5"/>
          <w:left w:space="5"/>
          <w:bottom w:space="5"/>
          <w:right w:space="5"/>
        </w:pBdr>
        <w:spacing w:after="0"/>
        <w:ind w:left="225"/>
        <w:jc w:val="left"/>
      </w:pPr>
      <w:r>
        <w:rPr>
          <w:rFonts w:ascii="Times New Roman" w:hAnsi="Times New Roman"/>
          <w:b w:val="false"/>
          <w:i w:val="false"/>
          <w:color w:val="000000"/>
          <w:sz w:val="22"/>
        </w:rPr>
        <w:t>(i) Definitions.</w:t>
      </w:r>
    </w:p>
    <w:p>
      <w:pPr>
        <w:pBdr>
          <w:top w:space="5"/>
          <w:left w:space="5"/>
          <w:bottom w:space="5"/>
          <w:right w:space="5"/>
        </w:pBdr>
        <w:spacing w:after="0"/>
        <w:ind w:left="225"/>
        <w:jc w:val="left"/>
      </w:pPr>
      <w:r>
        <w:rPr>
          <w:rFonts w:ascii="Times New Roman" w:hAnsi="Times New Roman"/>
          <w:b w:val="false"/>
          <w:i/>
          <w:color w:val="000000"/>
          <w:sz w:val="22"/>
        </w:rPr>
        <w:t>Legally Sufficient.</w:t>
      </w:r>
      <w:r>
        <w:rPr>
          <w:rFonts w:ascii="Times New Roman" w:hAnsi="Times New Roman"/>
          <w:b w:val="false"/>
          <w:i w:val="false"/>
          <w:color w:val="000000"/>
          <w:sz w:val="22"/>
        </w:rPr>
        <w:t xml:space="preserve"> Complies with the applicable laws, regulations and policy.</w:t>
      </w:r>
    </w:p>
    <w:p>
      <w:pPr>
        <w:pBdr>
          <w:top w:space="5"/>
          <w:left w:space="5"/>
          <w:bottom w:space="5"/>
          <w:right w:space="5"/>
        </w:pBdr>
        <w:spacing w:after="0"/>
        <w:ind w:left="225"/>
        <w:jc w:val="left"/>
      </w:pPr>
      <w:r>
        <w:rPr>
          <w:rFonts w:ascii="Times New Roman" w:hAnsi="Times New Roman"/>
          <w:b w:val="false"/>
          <w:i/>
          <w:color w:val="000000"/>
          <w:sz w:val="22"/>
        </w:rPr>
        <w:t>Legally Insufficient.</w:t>
      </w:r>
      <w:r>
        <w:rPr>
          <w:rFonts w:ascii="Times New Roman" w:hAnsi="Times New Roman"/>
          <w:b w:val="false"/>
          <w:i w:val="false"/>
          <w:color w:val="000000"/>
          <w:sz w:val="22"/>
        </w:rPr>
        <w:t xml:space="preserve"> Does not comply with the applicable laws, regulations and policy. Generally, these will be accompanied by specific findings and potential alternatives to correct legal deficiencies.</w:t>
      </w:r>
    </w:p>
    <w:p>
      <w:pPr>
        <w:pBdr>
          <w:top w:space="5"/>
          <w:left w:space="5"/>
          <w:bottom w:space="5"/>
          <w:right w:space="5"/>
        </w:pBdr>
        <w:spacing w:after="0"/>
        <w:ind w:left="225"/>
        <w:jc w:val="left"/>
      </w:pPr>
      <w:r>
        <w:rPr>
          <w:rFonts w:ascii="Times New Roman" w:hAnsi="Times New Roman"/>
          <w:b w:val="false"/>
          <w:i w:val="false"/>
          <w:color w:val="000000"/>
          <w:sz w:val="22"/>
        </w:rP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pPr>
        <w:pBdr>
          <w:top w:space="5"/>
          <w:left w:space="5"/>
          <w:bottom w:space="5"/>
          <w:right w:space="5"/>
        </w:pBdr>
        <w:spacing w:after="0"/>
        <w:ind w:left="225"/>
        <w:jc w:val="left"/>
      </w:pPr>
      <w:r>
        <w:rPr>
          <w:rFonts w:ascii="Times New Roman" w:hAnsi="Times New Roman"/>
          <w:b w:val="false"/>
          <w:i w:val="false"/>
          <w:color w:val="000000"/>
          <w:sz w:val="22"/>
        </w:rPr>
        <w:t>(ii) Legal review comments or a statement that the procurement document has been reviewed and found to be legally sufficient shall be placed in the contract file. The contracting officer is responsible for assuring that all legal comments are adjudicated.</w:t>
      </w:r>
    </w:p>
    <w:p>
      <w:pPr>
        <w:pBdr>
          <w:top w:space="5"/>
          <w:left w:space="5"/>
          <w:bottom w:space="5"/>
          <w:right w:space="5"/>
        </w:pBdr>
        <w:spacing w:after="0"/>
        <w:ind w:left="225"/>
        <w:jc w:val="left"/>
      </w:pPr>
      <w:r>
        <w:rPr>
          <w:rFonts w:ascii="Times New Roman" w:hAnsi="Times New Roman"/>
          <w:b w:val="false"/>
          <w:i w:val="false"/>
          <w:color w:val="000000"/>
          <w:sz w:val="22"/>
        </w:rPr>
        <w:t>(iii) In circumstances where the contracting officer finds it necessary to proceed with issuing a solicitation or awarding a contract action prior to obtaining a required legal review, the contracting officer shall obtain a written waiver from the CoCO. The waiver shall be retained in the contract file. The CoCO shall request an emergency/or quick turn-around legal review prior to approving a waiver. Legal will not review solicitations and contract award actions that have been waived (i.e., after-the-fact reviews).</w:t>
      </w:r>
    </w:p>
    <w:p>
      <w:pPr>
        <w:pBdr>
          <w:top w:space="5"/>
          <w:left w:space="5"/>
          <w:bottom w:space="5"/>
          <w:right w:space="5"/>
        </w:pBdr>
        <w:spacing w:after="0"/>
        <w:ind w:left="225"/>
        <w:jc w:val="left"/>
      </w:pPr>
      <w:r>
        <w:rPr>
          <w:rFonts w:ascii="Times New Roman" w:hAnsi="Times New Roman"/>
          <w:b w:val="false"/>
          <w:i w:val="false"/>
          <w:color w:val="000000"/>
          <w:sz w:val="22"/>
        </w:rPr>
        <w:t>(iv) DITCO-Pacific (PL7), DITCO-Scott Telecommunications Contracting Division (PL82), DITCO-Scott IT Contracting Division (PL83), and DITCO-Scott Emerging Technology, Special Interest Contracts, and Pricing Division (PL84) shall obtain legal reviews from legal counsel located at DITCO-Scott. DITCO-National Capital Region (PL6), DITCO-Europe (PL5), Defense Capabilities Contracting Office (PLA), and WHCA shall obtain legal reviews from legal counsel located at DITCO-NCR.</w:t>
      </w:r>
    </w:p>
    <w:p>
      <w:pPr>
        <w:pBdr>
          <w:top w:space="5"/>
          <w:left w:space="5"/>
          <w:bottom w:space="5"/>
          <w:right w:space="5"/>
        </w:pBdr>
        <w:spacing w:after="0"/>
        <w:ind w:left="225"/>
        <w:jc w:val="left"/>
      </w:pPr>
      <w:r>
        <w:rPr>
          <w:rFonts w:ascii="Times New Roman" w:hAnsi="Times New Roman"/>
          <w:b w:val="false"/>
          <w:i w:val="false"/>
          <w:color w:val="000000"/>
          <w:sz w:val="22"/>
        </w:rPr>
        <w:t>(v) Requests for legal review from legal counsel located at DITCO-Scott shall be sent via email to the “</w:t>
      </w:r>
      <w:hyperlink r:id="R1f4b6ff7d7684b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Scott AFB DITCO Mailbox Legal Office</w:t>
        </w:r>
      </w:hyperlink>
      <w:r>
        <w:rPr>
          <w:rFonts w:ascii="Times New Roman" w:hAnsi="Times New Roman"/>
          <w:b w:val="false"/>
          <w:i w:val="false"/>
          <w:color w:val="000000"/>
          <w:sz w:val="22"/>
        </w:rPr>
        <w:t>” group mailbox. Requests for legal reviews from legal counsel located at DITCO-NCR shall be sent via email to the “</w:t>
      </w:r>
      <w:hyperlink r:id="R62479a81f6b545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Ft Meade GC Mailbox Acquisition Law Team”</w:t>
        </w:r>
      </w:hyperlink>
      <w:r>
        <w:rPr>
          <w:rFonts w:ascii="Times New Roman" w:hAnsi="Times New Roman"/>
          <w:b w:val="false"/>
          <w:i w:val="false"/>
          <w:color w:val="000000"/>
          <w:sz w:val="22"/>
        </w:rPr>
        <w:t xml:space="preserve"> group mailbox. The following standard subject 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 review.</w:t>
      </w:r>
    </w:p>
    <w:p>
      <w:pPr>
        <w:pBdr>
          <w:top w:space="5"/>
          <w:left w:space="5"/>
          <w:bottom w:space="5"/>
          <w:right w:space="5"/>
        </w:pBdr>
        <w:spacing w:after="0"/>
        <w:ind w:left="225"/>
        <w:jc w:val="center"/>
      </w:pPr>
      <w:r>
        <w:rPr>
          <w:rFonts w:ascii="Times New Roman" w:hAnsi="Times New Roman"/>
          <w:b/>
          <w:i w:val="false"/>
          <w:color w:val="000000"/>
          <w:sz w:val="22"/>
        </w:rPr>
        <w:t>Table 1-</w:t>
      </w:r>
      <w:r>
        <w:rPr>
          <w:rFonts w:ascii="Times New Roman" w:hAnsi="Times New Roman"/>
          <w:b/>
          <w:i w:val="false"/>
          <w:color w:val="000000"/>
          <w:sz w:val="22"/>
        </w:rPr>
        <w:t>5</w:t>
      </w:r>
      <w:r>
        <w:rPr>
          <w:rFonts w:ascii="Times New Roman" w:hAnsi="Times New Roman"/>
          <w:b/>
          <w:i w:val="false"/>
          <w:color w:val="000000"/>
          <w:sz w:val="22"/>
        </w:rPr>
        <w:t>Minimum Documentation to Attach to Review Requests</w:t>
      </w:r>
    </w:p>
    <w:p>
      <w:pPr>
        <w:pBdr>
          <w:top w:space="5"/>
          <w:left w:space="5"/>
          <w:bottom w:space="5"/>
          <w:right w:space="5"/>
        </w:pBdr>
        <w:spacing w:after="0"/>
        <w:ind w:left="225"/>
        <w:jc w:val="center"/>
      </w:pPr>
      <w:r>
        <w:rPr>
          <w:rFonts w:ascii="Times New Roman" w:hAnsi="Times New Roman"/>
          <w:b/>
          <w:i w:val="false"/>
          <w:color w:val="000000"/>
          <w:sz w:val="22"/>
        </w:rPr>
        <w:t>(</w:t>
      </w:r>
      <w:r>
        <w:rPr>
          <w:rFonts w:ascii="Times New Roman" w:hAnsi="Times New Roman"/>
          <w:b/>
          <w:i/>
          <w:color w:val="000000"/>
          <w:sz w:val="22"/>
        </w:rPr>
        <w:t>The minimum documentation required for reviews)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3"/>
        <w:gridCol w:w="1893"/>
        <w:gridCol w:w="1798"/>
        <w:gridCol w:w="1800"/>
        <w:gridCol w:w="1798"/>
      </w:tblGrid>
      <w:tr>
        <w:trPr>
          <w:trHeight w:val="109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Type of Review</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Decision Point</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Non-Competitive</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Parts 12 and 15</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Competitive FAR Subparts 8.4 and</w:t>
            </w:r>
            <w:r>
              <w:rPr>
                <w:rFonts w:ascii="Times New Roman" w:hAnsi="Times New Roman"/>
                <w:b/>
                <w:i w:val="false"/>
                <w:color w:val="000000"/>
                <w:sz w:val="22"/>
              </w:rPr>
              <w:t>16.5</w:t>
            </w:r>
          </w:p>
        </w:tc>
      </w:tr>
      <w:tr>
        <w:trPr>
          <w:trHeight w:val="27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Release of 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then Solicitation</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Pre-Solicitation Documents including the</w:t>
            </w:r>
          </w:p>
          <w:p>
            <w:pPr>
              <w:pBdr>
                <w:top w:space="5"/>
                <w:left w:space="5"/>
                <w:bottom w:space="5"/>
                <w:right w:space="5"/>
              </w:pBdr>
              <w:spacing w:after="0"/>
              <w:ind w:left="240"/>
              <w:jc w:val="left"/>
            </w:pPr>
            <w:r>
              <w:rPr>
                <w:rFonts w:ascii="Times New Roman" w:hAnsi="Times New Roman"/>
                <w:b w:val="false"/>
                <w:i w:val="false"/>
                <w:color w:val="000000"/>
                <w:sz w:val="22"/>
              </w:rPr>
              <w:t>Solicitation</w:t>
            </w:r>
          </w:p>
        </w:tc>
      </w:tr>
      <w:tr>
        <w:trPr>
          <w:trHeight w:val="1275"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Pre-Negotiation</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Pre-PNMs and Sole</w:t>
            </w:r>
          </w:p>
          <w:p>
            <w:pPr>
              <w:pBdr>
                <w:top w:space="5"/>
                <w:left w:space="5"/>
                <w:bottom w:space="5"/>
                <w:right w:space="5"/>
              </w:pBdr>
              <w:spacing w:after="0"/>
              <w:ind w:left="240"/>
              <w:jc w:val="left"/>
            </w:pPr>
            <w:r>
              <w:rPr>
                <w:rFonts w:ascii="Times New Roman" w:hAnsi="Times New Roman"/>
                <w:b w:val="false"/>
                <w:i w:val="false"/>
                <w:color w:val="000000"/>
                <w:sz w:val="22"/>
              </w:rPr>
              <w:t>Source PNMs</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r>
      <w:tr>
        <w:trPr>
          <w:trHeight w:val="5130" w:hRule="atLeast"/>
        </w:trPr>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Approval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Prior to Award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Order and</w:t>
            </w:r>
          </w:p>
          <w:p>
            <w:pPr>
              <w:pBdr>
                <w:top w:space="5"/>
                <w:left w:space="5"/>
                <w:bottom w:space="5"/>
                <w:right w:space="5"/>
              </w:pBdr>
              <w:spacing w:after="0"/>
              <w:ind w:left="240"/>
              <w:jc w:val="left"/>
            </w:pPr>
            <w:r>
              <w:rPr>
                <w:rFonts w:ascii="Times New Roman" w:hAnsi="Times New Roman"/>
                <w:b w:val="false"/>
                <w:i w:val="false"/>
                <w:color w:val="000000"/>
                <w:sz w:val="22"/>
              </w:rPr>
              <w:t>Post-PNM</w:t>
            </w:r>
          </w:p>
          <w:p>
            <w:pPr>
              <w:pBdr>
                <w:top w:space="5"/>
                <w:left w:space="5"/>
                <w:bottom w:space="5"/>
                <w:right w:space="5"/>
              </w:pBdr>
              <w:spacing w:after="0"/>
              <w:ind w:left="240"/>
              <w:jc w:val="left"/>
            </w:pPr>
            <w:r>
              <w:rPr>
                <w:rFonts w:ascii="Times New Roman" w:hAnsi="Times New Roman"/>
                <w:b w:val="false"/>
                <w:i w:val="false"/>
                <w:color w:val="000000"/>
                <w:sz w:val="22"/>
              </w:rPr>
              <w:t>RFP and Evaluation</w:t>
            </w:r>
          </w:p>
          <w:p>
            <w:pPr>
              <w:pBdr>
                <w:top w:space="5"/>
                <w:left w:space="5"/>
                <w:bottom w:space="5"/>
                <w:right w:space="5"/>
              </w:pBdr>
              <w:spacing w:after="0"/>
              <w:ind w:left="240"/>
              <w:jc w:val="left"/>
            </w:pPr>
            <w:r>
              <w:rPr>
                <w:rFonts w:ascii="Times New Roman" w:hAnsi="Times New Roman"/>
                <w:b w:val="false"/>
                <w:i w:val="false"/>
                <w:color w:val="000000"/>
                <w:sz w:val="22"/>
              </w:rPr>
              <w:t>Documents (Legal</w:t>
            </w:r>
          </w:p>
          <w:p>
            <w:pPr>
              <w:pBdr>
                <w:top w:space="5"/>
                <w:left w:space="5"/>
                <w:bottom w:space="5"/>
                <w:right w:space="5"/>
              </w:pBdr>
              <w:spacing w:after="0"/>
              <w:ind w:left="240"/>
              <w:jc w:val="left"/>
            </w:pPr>
            <w:r>
              <w:rPr>
                <w:rFonts w:ascii="Times New Roman" w:hAnsi="Times New Roman"/>
                <w:b w:val="false"/>
                <w:i w:val="false"/>
                <w:color w:val="000000"/>
                <w:sz w:val="22"/>
              </w:rPr>
              <w:t>Only)</w:t>
            </w:r>
          </w:p>
        </w:tc>
        <w:tc>
          <w:tcPr>
            <w:tcW w:w="271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Contract, Source Selection Decision Document, Best Value Trade- off or LPTA Evaluation Summary (e.g., Selection Recommendation Document), RFP, and Draft Notification to Unsuccessful Offerors</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Pre-Award Documentation including Order, Post-PNM, Best Value Trade-off or LPTA Evaluation Summary (e.g.,</w:t>
            </w:r>
          </w:p>
          <w:p>
            <w:pPr>
              <w:pBdr>
                <w:top w:space="5"/>
                <w:left w:space="5"/>
                <w:bottom w:space="5"/>
                <w:right w:space="5"/>
              </w:pBdr>
              <w:spacing w:after="0"/>
              <w:ind w:left="240"/>
              <w:jc w:val="left"/>
            </w:pPr>
            <w:r>
              <w:rPr>
                <w:rFonts w:ascii="Times New Roman" w:hAnsi="Times New Roman"/>
                <w:b w:val="false"/>
                <w:i w:val="false"/>
                <w:color w:val="000000"/>
                <w:sz w:val="22"/>
              </w:rPr>
              <w:t>Selection Recommendation</w:t>
            </w:r>
          </w:p>
          <w:p>
            <w:pPr>
              <w:pBdr>
                <w:top w:space="5"/>
                <w:left w:space="5"/>
                <w:bottom w:space="5"/>
                <w:right w:space="5"/>
              </w:pBdr>
              <w:spacing w:after="0"/>
              <w:ind w:left="240"/>
              <w:jc w:val="left"/>
            </w:pPr>
            <w:r>
              <w:rPr>
                <w:rFonts w:ascii="Times New Roman" w:hAnsi="Times New Roman"/>
                <w:b w:val="false"/>
                <w:i w:val="false"/>
                <w:color w:val="000000"/>
                <w:sz w:val="22"/>
              </w:rPr>
              <w:t>Document), RFQ, and Draft</w:t>
            </w:r>
          </w:p>
          <w:p>
            <w:pPr>
              <w:pBdr>
                <w:top w:space="5"/>
                <w:left w:space="5"/>
                <w:bottom w:space="5"/>
                <w:right w:space="5"/>
              </w:pBdr>
              <w:spacing w:after="0"/>
              <w:ind w:left="240"/>
              <w:jc w:val="left"/>
            </w:pPr>
            <w:r>
              <w:rPr>
                <w:rFonts w:ascii="Times New Roman" w:hAnsi="Times New Roman"/>
                <w:b w:val="false"/>
                <w:i w:val="false"/>
                <w:color w:val="000000"/>
                <w:sz w:val="22"/>
              </w:rPr>
              <w:t>Notification to Unsuccessful</w:t>
            </w:r>
          </w:p>
          <w:p>
            <w:pPr>
              <w:pBdr>
                <w:top w:space="5"/>
                <w:left w:space="5"/>
                <w:bottom w:space="5"/>
                <w:right w:space="5"/>
              </w:pBdr>
              <w:spacing w:after="0"/>
              <w:ind w:left="240"/>
              <w:jc w:val="left"/>
            </w:pPr>
            <w:r>
              <w:rPr>
                <w:rFonts w:ascii="Times New Roman" w:hAnsi="Times New Roman"/>
                <w:b w:val="false"/>
                <w:i w:val="false"/>
                <w:color w:val="000000"/>
                <w:sz w:val="22"/>
              </w:rPr>
              <w:t>Offerors</w:t>
            </w:r>
          </w:p>
        </w:tc>
      </w:tr>
    </w:tbl>
    <w:p>
      <w:pPr>
        <w:pBdr>
          <w:top w:space="5"/>
          <w:left w:space="5"/>
          <w:bottom w:space="5"/>
          <w:right w:space="5"/>
        </w:pBdr>
        <w:spacing w:after="0"/>
        <w:ind w:left="225"/>
        <w:jc w:val="left"/>
      </w:pPr>
      <w:r>
        <w:rPr>
          <w:rFonts w:ascii="Times New Roman" w:hAnsi="Times New Roman"/>
          <w:b w:val="false"/>
          <w:i w:val="false"/>
          <w:color w:val="000000"/>
          <w:sz w:val="22"/>
        </w:rPr>
        <w:t>(7) Classified procurement oversight.Classified procurements are not exempt from compliance reviews. The Chief, Contract Operations Branch (PL22) shall be contacted to coordinate compliance reviews. The contracting officer shall ensure contract documents are redacted</w:t>
      </w:r>
      <w:r>
        <w:rPr>
          <w:rFonts w:ascii="Times New Roman" w:hAnsi="Times New Roman"/>
          <w:b/>
          <w:i w:val="false"/>
          <w:color w:val="000000"/>
          <w:sz w:val="22"/>
        </w:rPr>
        <w:t>,</w:t>
      </w:r>
      <w:r>
        <w:rPr>
          <w:rFonts w:ascii="Times New Roman" w:hAnsi="Times New Roman"/>
          <w:b w:val="false"/>
          <w:i w:val="false"/>
          <w:color w:val="000000"/>
          <w:sz w:val="22"/>
        </w:rPr>
        <w:t xml:space="preserve"> as necessary.</w:t>
      </w:r>
    </w:p>
    <!-- Created by docx4j 6.1.2 (Apache licensed) using REFERENCE JAXB in Oracle Java 15 on Linux -->
    <w:p>
      <w:pPr>
        <w:pStyle w:val="Heading3"/>
        <w:spacing w:after="199"/>
        <w:ind w:left="120"/>
        <w:jc w:val="left"/>
      </w:pPr>
      <w:bookmarkStart w:name="DARS_1.9001" w:id="26"/>
      <w:r>
        <w:rPr>
          <w:rFonts w:ascii="Times New Roman" w:hAnsi="Times New Roman"/>
          <w:color w:val="000000"/>
          <w:sz w:val="31"/>
        </w:rPr>
        <w:t>1.9001</w:t>
      </w:r>
      <w:r>
        <w:rPr>
          <w:rFonts w:ascii="Times New Roman" w:hAnsi="Times New Roman"/>
          <w:color w:val="000000"/>
          <w:sz w:val="31"/>
        </w:rPr>
        <w:t xml:space="preserve"> Procurement management reviews (PMR) and special interest reviews.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Chief, Contract Operations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CoCO and the HCO to improve the operational efficiency and effectiveness of their contracting organizations. This is accomplished through the assessment of internal management controls and acquisition policies and procedures. Additionally, the results of the PMRs are used to assess the Agency’s ability to sustain external scrutiny such as DoD Inspector General (DoDIG) Audits, General Accountability Office (GAO) Audits, external PMRs, and other independent reviews.</w:t>
      </w:r>
    </w:p>
    <w:p>
      <w:pPr>
        <w:pBdr>
          <w:top w:space="5"/>
          <w:left w:space="5"/>
          <w:bottom w:space="5"/>
          <w:right w:space="5"/>
        </w:pBdr>
        <w:spacing w:after="0"/>
        <w:ind w:left="225"/>
        <w:jc w:val="left"/>
      </w:pPr>
      <w:r>
        <w:rPr>
          <w:rFonts w:ascii="Times New Roman" w:hAnsi="Times New Roman"/>
          <w:b w:val="false"/>
          <w:i w:val="false"/>
          <w:color w:val="000000"/>
          <w:sz w:val="22"/>
        </w:rPr>
        <w:t>(b)(i) PMRs are conducted at the four Defense Information Technology Contracting Organizations (DITCO):</w:t>
      </w:r>
    </w:p>
    <w:p>
      <w:pPr>
        <w:pBdr>
          <w:top w:space="5"/>
          <w:left w:space="5"/>
          <w:bottom w:space="5"/>
          <w:right w:space="5"/>
        </w:pBdr>
        <w:spacing w:after="0"/>
        <w:ind w:left="225"/>
        <w:jc w:val="left"/>
      </w:pPr>
      <w:r>
        <w:rPr>
          <w:rFonts w:ascii="Times New Roman" w:hAnsi="Times New Roman"/>
          <w:b w:val="false"/>
          <w:i w:val="false"/>
          <w:color w:val="000000"/>
          <w:sz w:val="22"/>
        </w:rPr>
        <w:t>(1) DITCO-National Capital Region (NCR)</w:t>
      </w:r>
    </w:p>
    <w:p>
      <w:pPr>
        <w:pBdr>
          <w:top w:space="5"/>
          <w:left w:space="5"/>
          <w:bottom w:space="5"/>
          <w:right w:space="5"/>
        </w:pBdr>
        <w:spacing w:after="0"/>
        <w:ind w:left="225"/>
        <w:jc w:val="left"/>
      </w:pPr>
      <w:r>
        <w:rPr>
          <w:rFonts w:ascii="Times New Roman" w:hAnsi="Times New Roman"/>
          <w:b w:val="false"/>
          <w:i w:val="false"/>
          <w:color w:val="000000"/>
          <w:sz w:val="22"/>
        </w:rPr>
        <w:t>(2) DITCO-Europe</w:t>
      </w:r>
    </w:p>
    <w:p>
      <w:pPr>
        <w:pBdr>
          <w:top w:space="5"/>
          <w:left w:space="5"/>
          <w:bottom w:space="5"/>
          <w:right w:space="5"/>
        </w:pBdr>
        <w:spacing w:after="0"/>
        <w:ind w:left="225"/>
        <w:jc w:val="left"/>
      </w:pPr>
      <w:r>
        <w:rPr>
          <w:rFonts w:ascii="Times New Roman" w:hAnsi="Times New Roman"/>
          <w:b w:val="false"/>
          <w:i w:val="false"/>
          <w:color w:val="000000"/>
          <w:sz w:val="22"/>
        </w:rPr>
        <w:t>(3) DITCO-Pacific</w:t>
      </w:r>
    </w:p>
    <w:p>
      <w:pPr>
        <w:pBdr>
          <w:top w:space="5"/>
          <w:left w:space="5"/>
          <w:bottom w:space="5"/>
          <w:right w:space="5"/>
        </w:pBdr>
        <w:spacing w:after="0"/>
        <w:ind w:left="225"/>
        <w:jc w:val="left"/>
      </w:pPr>
      <w:r>
        <w:rPr>
          <w:rFonts w:ascii="Times New Roman" w:hAnsi="Times New Roman"/>
          <w:b w:val="false"/>
          <w:i w:val="false"/>
          <w:color w:val="000000"/>
          <w:sz w:val="22"/>
        </w:rPr>
        <w:t>(4) DITCO-Scott</w:t>
      </w:r>
    </w:p>
    <w:p>
      <w:pPr>
        <w:pBdr>
          <w:top w:space="5"/>
          <w:left w:space="5"/>
          <w:bottom w:space="5"/>
          <w:right w:space="5"/>
        </w:pBdr>
        <w:spacing w:after="0"/>
        <w:ind w:left="225"/>
        <w:jc w:val="left"/>
      </w:pPr>
      <w:r>
        <w:rPr>
          <w:rFonts w:ascii="Times New Roman" w:hAnsi="Times New Roman"/>
          <w:b w:val="false"/>
          <w:i w:val="false"/>
          <w:color w:val="000000"/>
          <w:sz w:val="22"/>
        </w:rPr>
        <w:t>(ii) Contract Management Reviews (CMR) are conducted at two external organizations:</w:t>
      </w:r>
    </w:p>
    <w:p>
      <w:pPr>
        <w:pBdr>
          <w:top w:space="5"/>
          <w:left w:space="5"/>
          <w:bottom w:space="5"/>
          <w:right w:space="5"/>
        </w:pBdr>
        <w:spacing w:after="0"/>
        <w:ind w:left="225"/>
        <w:jc w:val="left"/>
      </w:pPr>
      <w:r>
        <w:rPr>
          <w:rFonts w:ascii="Times New Roman" w:hAnsi="Times New Roman"/>
          <w:b w:val="false"/>
          <w:i w:val="false"/>
          <w:color w:val="000000"/>
          <w:sz w:val="22"/>
        </w:rPr>
        <w:t>(1) WHCA (White House Communications Agency)</w:t>
      </w:r>
    </w:p>
    <w:p>
      <w:pPr>
        <w:pBdr>
          <w:top w:space="5"/>
          <w:left w:space="5"/>
          <w:bottom w:space="5"/>
          <w:right w:space="5"/>
        </w:pBdr>
        <w:spacing w:after="0"/>
        <w:ind w:left="225"/>
        <w:jc w:val="left"/>
      </w:pPr>
      <w:r>
        <w:rPr>
          <w:rFonts w:ascii="Times New Roman" w:hAnsi="Times New Roman"/>
          <w:b w:val="false"/>
          <w:i w:val="false"/>
          <w:color w:val="000000"/>
          <w:sz w:val="22"/>
        </w:rPr>
        <w:t>(2) CMCA (Communications Management and Control Activity)</w:t>
      </w:r>
    </w:p>
    <w:p>
      <w:pPr>
        <w:pBdr>
          <w:top w:space="5"/>
          <w:left w:space="5"/>
          <w:bottom w:space="5"/>
          <w:right w:space="5"/>
        </w:pBdr>
        <w:spacing w:after="0"/>
        <w:ind w:left="225"/>
        <w:jc w:val="left"/>
      </w:pPr>
      <w:r>
        <w:rPr>
          <w:rFonts w:ascii="Times New Roman" w:hAnsi="Times New Roman"/>
          <w:b w:val="false"/>
          <w:i w:val="false"/>
          <w:color w:val="000000"/>
          <w:sz w:val="22"/>
        </w:rPr>
        <w:t>(c) PMRs and CMRs will be conducted IAW the PSD PMR Standard Operating Procedure. The HCA is the final decision authority for PMR/CMR observations, findings and recommendations.</w:t>
      </w:r>
    </w:p>
    <w:p>
      <w:pPr>
        <w:pBdr>
          <w:top w:space="5"/>
          <w:left w:space="5"/>
          <w:bottom w:space="5"/>
          <w:right w:space="5"/>
        </w:pBdr>
        <w:spacing w:after="0"/>
        <w:ind w:left="225"/>
        <w:jc w:val="left"/>
      </w:pPr>
      <w:r>
        <w:rPr>
          <w:rFonts w:ascii="Times New Roman" w:hAnsi="Times New Roman"/>
          <w:b w:val="false"/>
          <w:i w:val="false"/>
          <w:color w:val="000000"/>
          <w:sz w:val="22"/>
        </w:rPr>
        <w:t>(d) Special Interest Reviews are conducted at the request of the HCA or the SPE. These reviews assess specific aspects of the procurement process and/or operations, as requested.</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1.9002" w:id="27"/>
      <w:r>
        <w:rPr>
          <w:rFonts w:ascii="Times New Roman" w:hAnsi="Times New Roman"/>
          <w:color w:val="000000"/>
          <w:sz w:val="31"/>
        </w:rPr>
        <w:t>1.9002</w:t>
      </w:r>
      <w:r>
        <w:rPr>
          <w:rFonts w:ascii="Times New Roman" w:hAnsi="Times New Roman"/>
          <w:color w:val="000000"/>
          <w:sz w:val="31"/>
        </w:rPr>
        <w:t xml:space="preserve"> Contract document approval signature routing procedures.</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Procedures are located in </w:t>
      </w:r>
      <w:hyperlink r:id="Rf5f71e57bc7549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1.9002.</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cc16dccda5b8479c"/>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46e9c62ce65b468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cc16dccda5b8479c" /><Relationship Type="http://schemas.openxmlformats.org/officeDocument/2006/relationships/footer" Target="/word/footer11.xml" Id="R46e9c62ce65b468b" /><Relationship Type="http://schemas.openxmlformats.org/officeDocument/2006/relationships/hyperlink" Target="SUBPART_1.1.dita#DARS_SUBPART_1.1" TargetMode="External" Id="R51e84a5f53ce46a5" /><Relationship Type="http://schemas.openxmlformats.org/officeDocument/2006/relationships/hyperlink" Target="1.101.dita#DARS_1.101" TargetMode="External" Id="Rb0ad0928fb11424e" /><Relationship Type="http://schemas.openxmlformats.org/officeDocument/2006/relationships/hyperlink" Target="201.104.dita#DARS_201.104" TargetMode="External" Id="R922795af29a64375" /><Relationship Type="http://schemas.openxmlformats.org/officeDocument/2006/relationships/hyperlink" Target="201.1053.dita#DARS_201.1053" TargetMode="External" Id="R33f3388609674d39" /><Relationship Type="http://schemas.openxmlformats.org/officeDocument/2006/relationships/hyperlink" Target="201.170.dita#DARS_201.170" TargetMode="External" Id="Rcf3a7109deba4be0" /><Relationship Type="http://schemas.openxmlformats.org/officeDocument/2006/relationships/hyperlink" Target="SUBPART_1.2.dita#DARS_SUBPART_1.2" TargetMode="External" Id="Red10a9f380844875" /><Relationship Type="http://schemas.openxmlformats.org/officeDocument/2006/relationships/hyperlink" Target="1.2011.dita#DARS_1.2011" TargetMode="External" Id="R54a5953c09a841cd" /><Relationship Type="http://schemas.openxmlformats.org/officeDocument/2006/relationships/hyperlink" Target="201.20170.dita#DARS_201.20170" TargetMode="External" Id="Rac7a2ad1681a4179" /><Relationship Type="http://schemas.openxmlformats.org/officeDocument/2006/relationships/hyperlink" Target="SUBPART_1.3.dita#DARS_SUBPART_1.3" TargetMode="External" Id="Rc32913427d194aea" /><Relationship Type="http://schemas.openxmlformats.org/officeDocument/2006/relationships/hyperlink" Target="201.301.dita#DARS_201.301" TargetMode="External" Id="Ra6c353a699c6458c" /><Relationship Type="http://schemas.openxmlformats.org/officeDocument/2006/relationships/hyperlink" Target="201.303.dita#DARS_201.303" TargetMode="External" Id="Rf93dc99360504eed" /><Relationship Type="http://schemas.openxmlformats.org/officeDocument/2006/relationships/hyperlink" Target="201.304.dita#DARS_201.304" TargetMode="External" Id="R12e8b4d2d921439d" /><Relationship Type="http://schemas.openxmlformats.org/officeDocument/2006/relationships/hyperlink" Target="SUBPART_1.4.dita#DARS_SUBPART_1.4" TargetMode="External" Id="R0803175a129b45b2" /><Relationship Type="http://schemas.openxmlformats.org/officeDocument/2006/relationships/hyperlink" Target="201.403.dita#DARS_201.403" TargetMode="External" Id="R089cf89d2a4c468f" /><Relationship Type="http://schemas.openxmlformats.org/officeDocument/2006/relationships/hyperlink" Target="SUBPART_1.5.dita#DARS_SUBPART_1.5" TargetMode="External" Id="R65eb536caf0c4e7b" /><Relationship Type="http://schemas.openxmlformats.org/officeDocument/2006/relationships/hyperlink" Target="1.5012.dita#DARS_1.5012" TargetMode="External" Id="Rd833bf37f6414932" /><Relationship Type="http://schemas.openxmlformats.org/officeDocument/2006/relationships/hyperlink" Target="SUBPART_1.6.dita#DARS_SUBPART_1.6" TargetMode="External" Id="Reff42b0e4f234405" /><Relationship Type="http://schemas.openxmlformats.org/officeDocument/2006/relationships/hyperlink" Target="201.6022.dita#DARS_201.6022" TargetMode="External" Id="R52547762613d42bf" /><Relationship Type="http://schemas.openxmlformats.org/officeDocument/2006/relationships/hyperlink" Target="1.6023.dita#DARS_1.6023" TargetMode="External" Id="Re24df1e630f24015" /><Relationship Type="http://schemas.openxmlformats.org/officeDocument/2006/relationships/hyperlink" Target="1.603.dita#DARS_1.603" TargetMode="External" Id="R6f46685345c8480f" /><Relationship Type="http://schemas.openxmlformats.org/officeDocument/2006/relationships/hyperlink" Target="1.6031.dita#DARS_1.6031" TargetMode="External" Id="Rec841db96f224d24" /><Relationship Type="http://schemas.openxmlformats.org/officeDocument/2006/relationships/hyperlink" Target="1.603190.dita#DARS_1.603190" TargetMode="External" Id="Rb63454995f2a4dc9" /><Relationship Type="http://schemas.openxmlformats.org/officeDocument/2006/relationships/hyperlink" Target="1.604.dita#DARS_1.604" TargetMode="External" Id="R013d80cf0c8241de" /><Relationship Type="http://schemas.openxmlformats.org/officeDocument/2006/relationships/hyperlink" Target="SUBPART_1.90.dita#DARS_SUBPART_1.90" TargetMode="External" Id="Rdb499c84a80d4258" /><Relationship Type="http://schemas.openxmlformats.org/officeDocument/2006/relationships/hyperlink" Target="1.9000.dita#DARS_1.9000" TargetMode="External" Id="R982ddfb325c24bc9" /><Relationship Type="http://schemas.openxmlformats.org/officeDocument/2006/relationships/hyperlink" Target="1.9001.dita#DARS_1.9001" TargetMode="External" Id="Rd9c14b31c34b40cf" /><Relationship Type="http://schemas.openxmlformats.org/officeDocument/2006/relationships/hyperlink" Target="1.9002.dita#DARS_1.9002" TargetMode="External" Id="Rcc333a477bb74e27" /><Relationship Type="http://schemas.openxmlformats.org/officeDocument/2006/relationships/hyperlink" Target="http://www.ditco.disa.mil/hq/aqinfo.asp" TargetMode="External" Id="R26ba854b923c42ae" /><Relationship Type="http://schemas.openxmlformats.org/officeDocument/2006/relationships/hyperlink" Target="https://www.acq.osd.mil/dpap/policy/policyvault/USA001283-21-DPC.pdf" TargetMode="External" Id="R33dbfca6bdb549bb" /><Relationship Type="http://schemas.openxmlformats.org/officeDocument/2006/relationships/hyperlink" Target="https://www.acq.osd.mil/dpap/policy/policyvault/USA000820-08-DPAP.pdf" TargetMode="External" Id="R9a335ae4ea5c4924" /><Relationship Type="http://schemas.openxmlformats.org/officeDocument/2006/relationships/hyperlink" Target="https://www.acq.osd.mil/dpap/policy/policyvault/USA001283-21-DPC.pdf" TargetMode="External" Id="Rcc5288f5634c40d5" /><Relationship Type="http://schemas.openxmlformats.org/officeDocument/2006/relationships/hyperlink" Target="https://www.ditco.disa.mil/hq/peerreview.asp" TargetMode="External" Id="Reeb4b3dea49145c3" /><Relationship Type="http://schemas.openxmlformats.org/officeDocument/2006/relationships/hyperlink" Target="mailto:disa.meade.PLD.mbx.pl21-policy-branch@mail.mil" TargetMode="External" Id="Rd87b91be46eb460d" /><Relationship Type="http://schemas.openxmlformats.org/officeDocument/2006/relationships/hyperlink" Target="https://www.ditco.disa.mil/hq/aqinfo.asp" TargetMode="External" Id="Rffcd17a340104d87" /><Relationship Type="http://schemas.openxmlformats.org/officeDocument/2006/relationships/hyperlink" Target="https://disa.deps.mil/org/PL2/Pages/DITCORefs.aspx" TargetMode="External" Id="Rb6a0f79a942d4620" /><Relationship Type="http://schemas.openxmlformats.org/officeDocument/2006/relationships/hyperlink" Target="http://www.ditco.disa.mil/hq/aqinfo.asp" TargetMode="External" Id="Rff2c4e6bc48d4458" /><Relationship Type="http://schemas.openxmlformats.org/officeDocument/2006/relationships/hyperlink" Target="https://www.ditco.disa.mil/hq/deskbooks.asp" TargetMode="External" Id="R6d8cfd0d22b348fe" /><Relationship Type="http://schemas.openxmlformats.org/officeDocument/2006/relationships/hyperlink" Target="https://piee.eb.mil/" TargetMode="External" Id="R949a8080ce1d4ae4" /><Relationship Type="http://schemas.openxmlformats.org/officeDocument/2006/relationships/hyperlink" Target="https://disa.deps.mil/org/PL2/Pages/DITCORefs.aspx" TargetMode="External" Id="R8705e4e5c7e64ed4" /><Relationship Type="http://schemas.openxmlformats.org/officeDocument/2006/relationships/hyperlink" Target="https://disa.deps.mil/org/PL2/Pages/DITCORefs.aspx" TargetMode="External" Id="Ra2d07b1799fb4690" /><Relationship Type="http://schemas.openxmlformats.org/officeDocument/2006/relationships/hyperlink" Target="https://disa.deps.mil/org/PL2/pl2-policy-procedures-quality-workspace/Documents/Forms/AllItems.aspx?RootFolder=%2Forg%2FPL2%2Fpl2%2Dpolicy%2Dprocedures%2Dquality%2Dworkspace%2FDocuments%2FGovernment%20Purchase%20Card%20Workspace%20Folder%2FPurchase%20Cards%2FGPC%20Deskbook%20and%20Policies&amp;FolderCTID=0x01200082A48DF05F1E1B49B5BF44934FF61859&amp;View=%7B8405E38B%2DC4FE%2D467C%2D9FC4%2DE644CADE886C%7D" TargetMode="External" Id="Rcb8aaa18481245c9" /><Relationship Type="http://schemas.openxmlformats.org/officeDocument/2006/relationships/hyperlink" Target="mailto:disa.meade.ditco.mbx.cortm@mail.mil" TargetMode="External" Id="R4f531ea3e7be49a6" /><Relationship Type="http://schemas.openxmlformats.org/officeDocument/2006/relationships/hyperlink" Target="mailto:disa.meade.ditco.mbx.cortm@mail.mil" TargetMode="External" Id="Ra2645d2777f04634" /><Relationship Type="http://schemas.openxmlformats.org/officeDocument/2006/relationships/hyperlink" Target="mailto:disa.meade.ditco.mbx.cortm@mail.mil" TargetMode="External" Id="R36834aa1b22f468f" /><Relationship Type="http://schemas.openxmlformats.org/officeDocument/2006/relationships/hyperlink" Target="https://piee.eb.mil/" TargetMode="External" Id="Ref86d412c1e24114" /><Relationship Type="http://schemas.openxmlformats.org/officeDocument/2006/relationships/hyperlink" Target="https://www.ditco.disa.mil/hq/deskbooks.asp" TargetMode="External" Id="R223f583c91bf48ab" /><Relationship Type="http://schemas.openxmlformats.org/officeDocument/2006/relationships/hyperlink" Target="https://disa.deps.mil/org/PL2/Pages/DITCORefs.aspx" TargetMode="External" Id="R3c03519821c14b3c" /><Relationship Type="http://schemas.openxmlformats.org/officeDocument/2006/relationships/hyperlink" Target="mailto:disa.meade.PLD.mbx.pl22-policy-compliance-review@mail.mil" TargetMode="External" Id="R5039ac1b82364cdb" /><Relationship Type="http://schemas.openxmlformats.org/officeDocument/2006/relationships/hyperlink" Target="mailto:disa.scott.ditco.mbx.legal-office@mail.mil" TargetMode="External" Id="R1f4b6ff7d7684bf5" /><Relationship Type="http://schemas.openxmlformats.org/officeDocument/2006/relationships/hyperlink" Target="mailto:disa.meade.gc.mbx.acquisition-law-team@mail.mil" TargetMode="External" Id="R62479a81f6b545c5" /><Relationship Type="http://schemas.openxmlformats.org/officeDocument/2006/relationships/hyperlink" Target="https://disa.deps.mil/org/PL2/Pages/DITCORefs.aspx" TargetMode="External" Id="Rf5f71e57bc75490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