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Defense</w:t>
      </w:r>
      <w:br/>
      <w:r>
        <w:t xml:space="preserve">  Acquisition</w:t>
      </w:r>
      <w:br/>
      <w:r>
        <w:t xml:space="preserve">    Regulation</w:t>
      </w:r>
      <w:br/>
      <w:r>
        <w:t xml:space="preserve">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NATIONAL AERONAUTICS AND SPACE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TITLE#-DEFENSE ACQUISITION REGULATION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Defense Acquisition Regulation Supplement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DARS_PART_14" w:id="0"/>
      <w:r>
        <w:rPr>
          <w:rFonts w:ascii="Times New Roman" w:hAnsi="Times New Roman"/>
          <w:color w:val="000000"/>
        </w:rPr>
        <w:t>PART 14</w:t>
      </w:r>
      <w:r>
        <w:rPr>
          <w:rFonts w:ascii="Times New Roman" w:hAnsi="Times New Roman"/>
          <w:color w:val="000000"/>
        </w:rPr>
        <w:t xml:space="preserve"> –– SEALED BIDDING</w:t>
      </w:r>
      <w:bookmarkEnd w:id="0"/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  <w:pgNumType w:start="1"/>
      <w:footerReference w:type="default" r:id="R09838cfd6ec34901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09838cfd6ec34901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