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16" w:id="0"/>
      <w:r>
        <w:rPr>
          <w:rFonts w:ascii="Times New Roman" w:hAnsi="Times New Roman"/>
          <w:color w:val="000000"/>
        </w:rPr>
        <w:t>PART 16</w:t>
      </w:r>
      <w:r>
        <w:rPr>
          <w:rFonts w:ascii="Times New Roman" w:hAnsi="Times New Roman"/>
          <w:color w:val="000000"/>
        </w:rPr>
        <w:t xml:space="preserve"> –– TYPES OF CONTRACTS</w:t>
      </w:r>
      <w:bookmarkEnd w:id="0"/>
    </w:p>
    <w:p>
      <w:pPr>
        <w:spacing w:after="0"/>
        <w:jc w:val="left"/>
        <w:ind w:left="720" w:hanging="360"/>
      </w:pPr>
      <w:hyperlink w:anchor="DARS_SUBPART_16.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16.5 –– INDEFINITE–DELIVERY CONTRACTS</w:t>
        </w:r>
      </w:hyperlink>
    </w:p>
    <w:p>
      <w:pPr>
        <w:spacing w:after="0"/>
        <w:jc w:val="left"/>
        <w:ind w:left="1440" w:hanging="360"/>
      </w:pPr>
      <w:hyperlink w:anchor="DARS_16.5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16.504 Indefinite–quantity contracts.</w:t>
        </w:r>
      </w:hyperlink>
    </w:p>
    <w:p>
      <w:pPr>
        <w:spacing w:after="0"/>
        <w:jc w:val="left"/>
        <w:ind w:left="1440" w:hanging="360"/>
      </w:pPr>
      <w:hyperlink w:anchor="DARS_16.5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16.505 Ordering.</w:t>
        </w:r>
      </w:hyperlink>
    </w:p>
    <w:p>
      <w:pPr>
        <w:spacing w:after="0"/>
        <w:jc w:val="left"/>
        <w:ind w:left="1440" w:hanging="360"/>
      </w:pPr>
      <w:hyperlink w:anchor="DARS_16.6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16.601 Time–and–materials contracts.</w:t>
        </w:r>
      </w:hyperlink>
    </w:p>
    <w:p>
      <w:pPr>
        <w:spacing w:after="0"/>
        <w:jc w:val="left"/>
        <w:ind w:left="1440" w:hanging="360"/>
      </w:pPr>
      <w:hyperlink w:anchor="DARS_216.6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216.601 Time–and–materials contracts.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ARS_SUBPART_16.5" w:id="1"/>
      <w:r>
        <w:rPr>
          <w:rFonts w:ascii="Times New Roman" w:hAnsi="Times New Roman"/>
          <w:color w:val="000000"/>
          <w:sz w:val="36"/>
        </w:rPr>
        <w:t>SUBPART 16.5</w:t>
      </w:r>
      <w:r>
        <w:rPr>
          <w:rFonts w:ascii="Times New Roman" w:hAnsi="Times New Roman"/>
          <w:color w:val="000000"/>
          <w:sz w:val="36"/>
        </w:rPr>
        <w:t xml:space="preserve"> –– INDEFINITE–DELIVERY CONTRACTS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16.504" w:id="2"/>
      <w:r>
        <w:rPr>
          <w:rFonts w:ascii="Times New Roman" w:hAnsi="Times New Roman"/>
          <w:color w:val="000000"/>
          <w:sz w:val="31"/>
        </w:rPr>
        <w:t>16.504</w:t>
      </w:r>
      <w:r>
        <w:rPr>
          <w:rFonts w:ascii="Times New Roman" w:hAnsi="Times New Roman"/>
          <w:color w:val="000000"/>
          <w:sz w:val="31"/>
        </w:rPr>
        <w:t xml:space="preserve"> Indefinite–quantity contracts.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Funding for the minimum guarantee shall be obligated at the time of contract award via the first order. (See DARS 7.105(b)(6))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16.505" w:id="3"/>
      <w:r>
        <w:rPr>
          <w:rFonts w:ascii="Times New Roman" w:hAnsi="Times New Roman"/>
          <w:color w:val="000000"/>
          <w:sz w:val="31"/>
        </w:rPr>
        <w:t>16.505</w:t>
      </w:r>
      <w:r>
        <w:rPr>
          <w:rFonts w:ascii="Times New Roman" w:hAnsi="Times New Roman"/>
          <w:color w:val="000000"/>
          <w:sz w:val="31"/>
        </w:rPr>
        <w:t xml:space="preserve"> Ordering.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(b)(6) </w:t>
      </w:r>
      <w:r>
        <w:rPr>
          <w:rFonts w:ascii="Times New Roman" w:hAnsi="Times New Roman"/>
          <w:b w:val="false"/>
          <w:i/>
          <w:color w:val="000000"/>
          <w:sz w:val="22"/>
        </w:rPr>
        <w:t>Postaward</w:t>
      </w:r>
      <w:r>
        <w:rPr>
          <w:rFonts w:ascii="Times New Roman" w:hAnsi="Times New Roman"/>
          <w:b w:val="false"/>
          <w:i/>
          <w:color w:val="000000"/>
          <w:sz w:val="22"/>
        </w:rPr>
        <w:t>Notices and Debriefing of Awardees for Orders Exceeding $6 million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The Initial Letter to Unsuccessful Offerors and Debriefing Letter to Unsuccessful Offerors, located in the </w:t>
      </w:r>
      <w:hyperlink r:id="R7cb286a19db44d1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shall be used to notify unsuccessful awardees when the total price of a task or delivery order exceeds $6 million.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(b)(8) </w:t>
      </w:r>
      <w:r>
        <w:rPr>
          <w:rFonts w:ascii="Times New Roman" w:hAnsi="Times New Roman"/>
          <w:b w:val="false"/>
          <w:i/>
          <w:color w:val="000000"/>
          <w:sz w:val="22"/>
        </w:rPr>
        <w:t>Task-order and delivery-order ombudsman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The Designation and Delegation of Authority for the Agency Task and Delivery Order Ombudsman is located at </w:t>
      </w:r>
      <w:hyperlink r:id="R558c32a7bc7b4d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https://www.ditco.disa.mil/hq/delegation_memos.asp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16.601" w:id="4"/>
      <w:r>
        <w:rPr>
          <w:rFonts w:ascii="Times New Roman" w:hAnsi="Times New Roman"/>
          <w:color w:val="000000"/>
          <w:sz w:val="31"/>
        </w:rPr>
        <w:t>16.601</w:t>
      </w:r>
      <w:r>
        <w:rPr>
          <w:rFonts w:ascii="Times New Roman" w:hAnsi="Times New Roman"/>
          <w:color w:val="000000"/>
          <w:sz w:val="31"/>
        </w:rPr>
        <w:t xml:space="preserve"> Time–and–materials contracts.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(d)(1) Time-and-materials or labor-hour CLINS for strictly travel costs or Other Direct Costs that are ancillary to the primary purpose of a fixed price contract do not require a determination and findings. T&amp;M or LH CLINS shall not exceed 33.33% of the total contract value, not including travel; a D&amp;F is required if exceeding 33.33%.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216.601" w:id="5"/>
      <w:r>
        <w:rPr>
          <w:rFonts w:ascii="Times New Roman" w:hAnsi="Times New Roman"/>
          <w:color w:val="000000"/>
          <w:sz w:val="31"/>
        </w:rPr>
        <w:t>216.601</w:t>
      </w:r>
      <w:r>
        <w:rPr>
          <w:rFonts w:ascii="Times New Roman" w:hAnsi="Times New Roman"/>
          <w:color w:val="000000"/>
          <w:sz w:val="31"/>
        </w:rPr>
        <w:t xml:space="preserve"> Time–and–materials contracts.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(d)(i)(A)(1)(i) The Chief of the Contracting Office is the senior contracting official within the contracting activity.</w:t>
      </w:r>
    </w:p>
    <w:sectPr>
      <w:pgSz w:w="12240" w:h="15840" w:code="1"/>
      <w:pgMar w:top="1440" w:right="1440" w:bottom="1440" w:left="1440"/>
      <w:pgNumType w:start="1"/>
      <w:footerReference w:type="default" r:id="R151a9b792195404d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151a9b792195404d" /><Relationship Type="http://schemas.openxmlformats.org/officeDocument/2006/relationships/hyperlink" Target="SUBPART_16.5.dita#DARS_SUBPART_16.5" TargetMode="External" Id="Rc5ce575a144b4007" /><Relationship Type="http://schemas.openxmlformats.org/officeDocument/2006/relationships/hyperlink" Target="16.504.dita#DARS_16.504" TargetMode="External" Id="Rdebf03e9cc974b3c" /><Relationship Type="http://schemas.openxmlformats.org/officeDocument/2006/relationships/hyperlink" Target="16.505.dita#DARS_16.505" TargetMode="External" Id="Ref089e6f0ecf4b17" /><Relationship Type="http://schemas.openxmlformats.org/officeDocument/2006/relationships/hyperlink" Target="16.601.dita#DARS_16.601" TargetMode="External" Id="R37e8ee7a47e74151" /><Relationship Type="http://schemas.openxmlformats.org/officeDocument/2006/relationships/hyperlink" Target="216.601.dita#DARS_216.601" TargetMode="External" Id="R6cd6c6f1ea314eb4" /><Relationship Type="http://schemas.openxmlformats.org/officeDocument/2006/relationships/hyperlink" Target="https://disa.deps.mil/org/PL2/Pages/DITCORefs.aspx" TargetMode="External" Id="R7cb286a19db44d1e" /><Relationship Type="http://schemas.openxmlformats.org/officeDocument/2006/relationships/hyperlink" Target="https://www.ditco.disa.mil/hq/delegation_memos.asp" TargetMode="External" Id="R558c32a7bc7b4d0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