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4" w:id="0"/>
      <w:r>
        <w:rPr>
          <w:rFonts w:ascii="Times New Roman" w:hAnsi="Times New Roman"/>
          <w:color w:val="000000"/>
        </w:rPr>
        <w:t>PART 24</w:t>
      </w:r>
      <w:r>
        <w:rPr>
          <w:rFonts w:ascii="Times New Roman" w:hAnsi="Times New Roman"/>
          <w:color w:val="000000"/>
        </w:rPr>
        <w:t xml:space="preserve"> –– PROTECTION OF PRIVACY AND FREEDOM OF INFORMATION</w:t>
      </w:r>
      <w:bookmarkEnd w:id="0"/>
    </w:p>
    <w:p>
      <w:pPr>
        <w:spacing w:after="0"/>
        <w:jc w:val="left"/>
        <w:ind w:left="720" w:hanging="360"/>
      </w:pPr>
      <w:hyperlink w:anchor="DARS_SUBPART_24.2">
        <w:r>
          <w:rPr>
            <w:rStyle w:val="Hyperlink"/>
            <w:rFonts w:ascii="Times New Roman" w:hAnsi="Times New Roman"/>
            <w:b w:val="false"/>
            <w:i w:val="false"/>
            <w:color w:val="0000ff"/>
            <w:sz w:val="22"/>
            <w:u w:val="single"/>
          </w:rPr>
          <w:t>SUBPART 24.2 — FREEDOM OF INFORMATION ACT</w:t>
        </w:r>
      </w:hyperlink>
    </w:p>
    <w:p>
      <w:pPr>
        <w:spacing w:after="0"/>
        <w:jc w:val="left"/>
        <w:ind w:left="1440" w:hanging="360"/>
      </w:pPr>
      <w:hyperlink w:anchor="DARS_224.203">
        <w:r>
          <w:rPr>
            <w:rStyle w:val="Hyperlink"/>
            <w:rFonts w:ascii="Times New Roman" w:hAnsi="Times New Roman"/>
            <w:b w:val="false"/>
            <w:i w:val="false"/>
            <w:color w:val="0000ff"/>
            <w:sz w:val="22"/>
            <w:u w:val="single"/>
          </w:rPr>
          <w:t>224.203 Policy.</w:t>
        </w:r>
      </w:hyperlink>
    </w:p>
    <!-- Created by docx4j 6.1.2 (Apache licensed) using REFERENCE JAXB in Oracle Java 15 on Linux -->
    <w:p>
      <w:pPr>
        <w:pStyle w:val="Heading2"/>
        <w:spacing w:after="180"/>
        <w:ind w:left="120"/>
        <w:jc w:val="center"/>
      </w:pPr>
      <w:bookmarkStart w:name="DARS_SUBPART_24.2" w:id="1"/>
      <w:r>
        <w:rPr>
          <w:rFonts w:ascii="Times New Roman" w:hAnsi="Times New Roman"/>
          <w:color w:val="000000"/>
          <w:sz w:val="36"/>
        </w:rPr>
        <w:t>SUBPART 24.2</w:t>
      </w:r>
      <w:r>
        <w:rPr>
          <w:rFonts w:ascii="Times New Roman" w:hAnsi="Times New Roman"/>
          <w:color w:val="000000"/>
          <w:sz w:val="36"/>
        </w:rPr>
        <w:t xml:space="preserve"> — FREEDOM OF INFORMATION ACT</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4.203" w:id="2"/>
      <w:r>
        <w:rPr>
          <w:rFonts w:ascii="Times New Roman" w:hAnsi="Times New Roman"/>
          <w:color w:val="000000"/>
          <w:sz w:val="31"/>
        </w:rPr>
        <w:t>224.203</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Upon receipt of a request under this subpart, the DISA employee shall inform the requester that they must file a Freedom of Information Act request to the address below. Requests can be sent via USPS, fax or e-mail. Advise requester(s) that the FOIA Office is the focal point of all such information and that official information may only be released through the FOIA Office or their authorized designee.</w:t>
      </w:r>
    </w:p>
    <w:p>
      <w:pPr>
        <w:pBdr>
          <w:top w:space="5"/>
          <w:left w:space="5"/>
          <w:bottom w:space="5"/>
          <w:right w:space="5"/>
        </w:pBdr>
        <w:spacing w:after="0"/>
        <w:ind w:left="225"/>
        <w:jc w:val="left"/>
      </w:pPr>
      <w:r>
        <w:rPr>
          <w:rFonts w:ascii="Times New Roman" w:hAnsi="Times New Roman"/>
          <w:b w:val="false"/>
          <w:i w:val="false"/>
          <w:color w:val="000000"/>
          <w:sz w:val="22"/>
        </w:rPr>
        <w:t>Defense Information Systems Agency</w:t>
      </w:r>
    </w:p>
    <w:p>
      <w:pPr>
        <w:pBdr>
          <w:top w:space="5"/>
          <w:left w:space="5"/>
          <w:bottom w:space="5"/>
          <w:right w:space="5"/>
        </w:pBdr>
        <w:spacing w:after="0"/>
        <w:ind w:left="225"/>
        <w:jc w:val="left"/>
      </w:pPr>
      <w:r>
        <w:rPr>
          <w:rFonts w:ascii="Times New Roman" w:hAnsi="Times New Roman"/>
          <w:b w:val="false"/>
          <w:i w:val="false"/>
          <w:color w:val="000000"/>
          <w:sz w:val="22"/>
        </w:rPr>
        <w:t>ATTN: Headquarters FOIA Requester Service Center</w:t>
      </w:r>
    </w:p>
    <w:p>
      <w:pPr>
        <w:pBdr>
          <w:top w:space="5"/>
          <w:left w:space="5"/>
          <w:bottom w:space="5"/>
          <w:right w:space="5"/>
        </w:pBdr>
        <w:spacing w:after="0"/>
        <w:ind w:left="225"/>
        <w:jc w:val="left"/>
      </w:pPr>
      <w:r>
        <w:rPr>
          <w:rFonts w:ascii="Times New Roman" w:hAnsi="Times New Roman"/>
          <w:b w:val="false"/>
          <w:i w:val="false"/>
          <w:color w:val="000000"/>
          <w:sz w:val="22"/>
        </w:rPr>
        <w:t>P.O. Box 549</w:t>
      </w:r>
    </w:p>
    <w:p>
      <w:pPr>
        <w:pBdr>
          <w:top w:space="5"/>
          <w:left w:space="5"/>
          <w:bottom w:space="5"/>
          <w:right w:space="5"/>
        </w:pBdr>
        <w:spacing w:after="0"/>
        <w:ind w:left="225"/>
        <w:jc w:val="left"/>
      </w:pPr>
      <w:r>
        <w:rPr>
          <w:rFonts w:ascii="Times New Roman" w:hAnsi="Times New Roman"/>
          <w:b w:val="false"/>
          <w:i w:val="false"/>
          <w:color w:val="000000"/>
          <w:sz w:val="22"/>
        </w:rPr>
        <w:t>Ft Meade, MD 20755-0549 FAX: (301) 225-0510</w:t>
      </w:r>
    </w:p>
    <w:p>
      <w:pPr>
        <w:pBdr>
          <w:top w:space="5"/>
          <w:left w:space="5"/>
          <w:bottom w:space="5"/>
          <w:right w:space="5"/>
        </w:pBdr>
        <w:spacing w:after="0"/>
        <w:ind w:left="225"/>
        <w:jc w:val="left"/>
      </w:pPr>
      <w:hyperlink r:id="Rfc5fde4de5e646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disa.meade.gc.mbx.foia@mail.mil</w:t>
        </w:r>
      </w:hyperlink>
    </w:p>
    <w:p>
      <w:pPr>
        <w:pBdr>
          <w:top w:space="5"/>
          <w:left w:space="5"/>
          <w:bottom w:space="5"/>
          <w:right w:space="5"/>
        </w:pBdr>
        <w:spacing w:after="0"/>
        <w:ind w:left="225"/>
        <w:jc w:val="left"/>
      </w:pPr>
      <w:r>
        <w:rPr>
          <w:rFonts w:ascii="Times New Roman" w:hAnsi="Times New Roman"/>
          <w:b w:val="false"/>
          <w:i w:val="false"/>
          <w:color w:val="000000"/>
          <w:sz w:val="22"/>
        </w:rPr>
        <w:t>(S-91) This policy does not apply to those infrequent situations in which a DISA employee may be under court order, subpoena, or otherwise directed to provide such information in a matter under litigation. All such situations should be directed to the DISA Office of General Counsel, before the release of any information occurs or before any appearance, testimony, or other statement before any tribunal.</w:t>
      </w:r>
    </w:p>
    <w:sectPr>
      <w:pgSz w:w="12240" w:h="15840" w:code="1"/>
      <w:pgMar w:top="1440" w:right="1440" w:bottom="1440" w:left="1440"/>
      <w:pgNumType w:start="1"/>
      <w:footerReference w:type="default" r:id="Radb1631aae8d4ea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db1631aae8d4ea8" /><Relationship Type="http://schemas.openxmlformats.org/officeDocument/2006/relationships/hyperlink" Target="SUBPART_24.2.dita#DARS_SUBPART_24.2" TargetMode="External" Id="Ra1fd0365bbe74213" /><Relationship Type="http://schemas.openxmlformats.org/officeDocument/2006/relationships/hyperlink" Target="224.203.dita#DARS_224.203" TargetMode="External" Id="Rc7fa76bb9a4946ce" /><Relationship Type="http://schemas.openxmlformats.org/officeDocument/2006/relationships/hyperlink" Target="mailto:disa.meade.gc.mbx.foia@mail.mil" TargetMode="External" Id="Rfc5fde4de5e6469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