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3" w:id="0"/>
      <w:r>
        <w:rPr>
          <w:rFonts w:ascii="Times New Roman" w:hAnsi="Times New Roman"/>
          <w:color w:val="000000"/>
        </w:rPr>
        <w:t>PART 33</w:t>
      </w:r>
      <w:r>
        <w:rPr>
          <w:rFonts w:ascii="Times New Roman" w:hAnsi="Times New Roman"/>
          <w:color w:val="000000"/>
        </w:rPr>
        <w:t xml:space="preserve"> –– PROTESTS, DISPUTES, AND APPEALS</w:t>
      </w:r>
      <w:bookmarkEnd w:id="0"/>
    </w:p>
    <w:p>
      <w:pPr>
        <w:spacing w:after="0"/>
        <w:jc w:val="left"/>
        <w:ind w:left="720" w:hanging="360"/>
      </w:pPr>
      <w:hyperlink w:anchor="DARS_SUBPART_33.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ARS_33.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ARS_33.104">
        <w:r>
          <w:rPr>
            <w:rStyle w:val="Hyperlink"/>
            <w:rFonts w:ascii="Times New Roman" w:hAnsi="Times New Roman"/>
            <w:b w:val="false"/>
            <w:i w:val="false"/>
            <w:color w:val="0000ff"/>
            <w:sz w:val="22"/>
            <w:u w:val="single"/>
          </w:rPr>
          <w:t>33.104 Protest to GAO.</w:t>
        </w:r>
      </w:hyperlink>
    </w:p>
    <w:p>
      <w:pPr>
        <w:spacing w:after="0"/>
        <w:jc w:val="left"/>
        <w:ind w:left="720" w:hanging="360"/>
      </w:pPr>
      <w:hyperlink w:anchor="DARS_SUBPART_33.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ARS_33.204">
        <w:r>
          <w:rPr>
            <w:rStyle w:val="Hyperlink"/>
            <w:rFonts w:ascii="Times New Roman" w:hAnsi="Times New Roman"/>
            <w:b w:val="false"/>
            <w:i w:val="false"/>
            <w:color w:val="0000ff"/>
            <w:sz w:val="22"/>
            <w:u w:val="single"/>
          </w:rPr>
          <w:t>33.204 Policy.</w:t>
        </w:r>
      </w:hyperlink>
    </w:p>
    <w:p>
      <w:pPr>
        <w:spacing w:after="0"/>
        <w:jc w:val="left"/>
        <w:ind w:left="1440" w:hanging="360"/>
      </w:pPr>
      <w:hyperlink w:anchor="DARS_33.211">
        <w:r>
          <w:rPr>
            <w:rStyle w:val="Hyperlink"/>
            <w:rFonts w:ascii="Times New Roman" w:hAnsi="Times New Roman"/>
            <w:b w:val="false"/>
            <w:i w:val="false"/>
            <w:color w:val="0000ff"/>
            <w:sz w:val="22"/>
            <w:u w:val="single"/>
          </w:rPr>
          <w:t>33.211 Contracting officer’s decision.</w:t>
        </w:r>
      </w:hyperlink>
    </w:p>
    <!-- Created by docx4j 6.1.2 (Apache licensed) using REFERENCE JAXB in Oracle Java 15 on Linux -->
    <w:p>
      <w:pPr>
        <w:pStyle w:val="Heading2"/>
        <w:spacing w:after="180"/>
        <w:ind w:left="120"/>
        <w:jc w:val="center"/>
      </w:pPr>
      <w:bookmarkStart w:name="DARS_SUBPART_33.1" w:id="1"/>
      <w:r>
        <w:rPr>
          <w:rFonts w:ascii="Times New Roman" w:hAnsi="Times New Roman"/>
          <w:color w:val="000000"/>
          <w:sz w:val="36"/>
        </w:rPr>
        <w:t>SUBPART 33.1</w:t>
      </w:r>
      <w:r>
        <w:rPr>
          <w:rFonts w:ascii="Times New Roman" w:hAnsi="Times New Roman"/>
          <w:color w:val="000000"/>
          <w:sz w:val="36"/>
        </w:rPr>
        <w:t xml:space="preserve"> –– PROTESTS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103" w:id="2"/>
      <w:r>
        <w:rPr>
          <w:rFonts w:ascii="Times New Roman" w:hAnsi="Times New Roman"/>
          <w:color w:val="000000"/>
          <w:sz w:val="31"/>
        </w:rPr>
        <w:t>33.103</w:t>
      </w:r>
      <w:r>
        <w:rPr>
          <w:rFonts w:ascii="Times New Roman" w:hAnsi="Times New Roman"/>
          <w:color w:val="000000"/>
          <w:sz w:val="31"/>
        </w:rPr>
        <w:t xml:space="preserve"> Protests to the agency.</w:t>
      </w:r>
      <w:bookmarkEnd w:id="2"/>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Chief of the Contracting Office (CoCO) and/or the Head of the Contracting Office (HCO).</w:t>
      </w:r>
    </w:p>
    <w:p>
      <w:pPr>
        <w:pBdr>
          <w:top w:space="5"/>
          <w:left w:space="5"/>
          <w:bottom w:space="5"/>
          <w:right w:space="5"/>
        </w:pBdr>
        <w:spacing w:after="0"/>
        <w:ind w:left="225"/>
        <w:jc w:val="left"/>
      </w:pPr>
      <w:r>
        <w:rPr>
          <w:rFonts w:ascii="Times New Roman" w:hAnsi="Times New Roman"/>
          <w:b w:val="false"/>
          <w:i w:val="false"/>
          <w:color w:val="000000"/>
          <w:sz w:val="22"/>
        </w:rP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1.9003 for routing procedures.</w:t>
      </w:r>
    </w:p>
    <w:p>
      <w:pPr>
        <w:pBdr>
          <w:top w:space="5"/>
          <w:left w:space="5"/>
          <w:bottom w:space="5"/>
          <w:right w:space="5"/>
        </w:pBdr>
        <w:spacing w:after="0"/>
        <w:ind w:left="585"/>
        <w:jc w:val="left"/>
      </w:pPr>
      <w:r>
        <w:rPr>
          <w:rFonts w:ascii="Times New Roman" w:hAnsi="Times New Roman"/>
          <w:b w:val="false"/>
          <w:i w:val="false"/>
          <w:color w:val="000000"/>
          <w:sz w:val="22"/>
        </w:rPr>
        <w:t>(3) The approving official for the justification/determination is the HCA. Approval requests shall be forwarded to the HCA electronically, coordinated through the CoCO, HCO, local legal counsel, and the OSBP if the protester is a small business. See DARS PGI 1.9003 for routing procedures.</w:t>
      </w:r>
      <w:hyperlink r:id="R3433b5ababf94d2b">
        <w:r>
          <w:rPr>
            <w:rStyle w:val="Hyperlink"/>
            <w:rFonts w:ascii="Times New Roman" w:hAnsi="Times New Roman"/>
            <w:b w:val="false"/>
            <w:i w:val="false"/>
            <w:color w:val="0000ff"/>
            <w:sz w:val="22"/>
            <w:u w:val="single"/>
          </w:rPr>
          <w:t>https://www.ditco.disa.mil/DITCOContractingTemplates/</w:t>
        </w:r>
      </w:hyperlink>
    </w:p>
    <w:p>
      <w:pPr>
        <w:pBdr>
          <w:top w:space="5"/>
          <w:left w:space="5"/>
          <w:bottom w:space="5"/>
          <w:right w:space="5"/>
        </w:pBdr>
        <w:spacing w:after="0"/>
        <w:ind w:left="225"/>
        <w:jc w:val="left"/>
      </w:pPr>
      <w:r>
        <w:rPr>
          <w:rFonts w:ascii="Times New Roman" w:hAnsi="Times New Roman"/>
          <w:b w:val="false"/>
          <w:i w:val="false"/>
          <w:color w:val="000000"/>
          <w:sz w:val="22"/>
        </w:rP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The protest;</w:t>
      </w:r>
    </w:p>
    <w:p>
      <w:pPr>
        <w:pBdr>
          <w:top w:space="5"/>
          <w:left w:space="5"/>
          <w:bottom w:space="5"/>
          <w:right w:space="5"/>
        </w:pBdr>
        <w:spacing w:after="0"/>
        <w:ind w:left="225"/>
        <w:jc w:val="left"/>
      </w:pPr>
      <w:r>
        <w:rPr>
          <w:rFonts w:ascii="Times New Roman" w:hAnsi="Times New Roman"/>
          <w:b w:val="false"/>
          <w:i w:val="false"/>
          <w:color w:val="000000"/>
          <w:sz w:val="22"/>
        </w:rPr>
        <w:t>(2) The offer submitted by the protesting offeror;</w:t>
      </w:r>
    </w:p>
    <w:p>
      <w:pPr>
        <w:pBdr>
          <w:top w:space="5"/>
          <w:left w:space="5"/>
          <w:bottom w:space="5"/>
          <w:right w:space="5"/>
        </w:pBdr>
        <w:spacing w:after="0"/>
        <w:ind w:left="225"/>
        <w:jc w:val="left"/>
      </w:pPr>
      <w:r>
        <w:rPr>
          <w:rFonts w:ascii="Times New Roman" w:hAnsi="Times New Roman"/>
          <w:b w:val="false"/>
          <w:i w:val="false"/>
          <w:color w:val="000000"/>
          <w:sz w:val="22"/>
        </w:rPr>
        <w:t>(3) The offer which is being considered for award or which is being protested;</w:t>
      </w:r>
    </w:p>
    <w:p>
      <w:pPr>
        <w:pBdr>
          <w:top w:space="5"/>
          <w:left w:space="5"/>
          <w:bottom w:space="5"/>
          <w:right w:space="5"/>
        </w:pBdr>
        <w:spacing w:after="0"/>
        <w:ind w:left="225"/>
        <w:jc w:val="left"/>
      </w:pPr>
      <w:r>
        <w:rPr>
          <w:rFonts w:ascii="Times New Roman" w:hAnsi="Times New Roman"/>
          <w:b w:val="false"/>
          <w:i w:val="false"/>
          <w:color w:val="000000"/>
          <w:sz w:val="22"/>
        </w:rPr>
        <w:t>(4) The solicitation, including relevant attachments;</w:t>
      </w:r>
    </w:p>
    <w:p>
      <w:pPr>
        <w:pBdr>
          <w:top w:space="5"/>
          <w:left w:space="5"/>
          <w:bottom w:space="5"/>
          <w:right w:space="5"/>
        </w:pBdr>
        <w:spacing w:after="0"/>
        <w:ind w:left="225"/>
        <w:jc w:val="left"/>
      </w:pPr>
      <w:r>
        <w:rPr>
          <w:rFonts w:ascii="Times New Roman" w:hAnsi="Times New Roman"/>
          <w:b w:val="false"/>
          <w:i w:val="false"/>
          <w:color w:val="000000"/>
          <w:sz w:val="22"/>
        </w:rPr>
        <w:t>(5) The price/cost analysis or abstract of offers;</w:t>
      </w:r>
    </w:p>
    <w:p>
      <w:pPr>
        <w:pBdr>
          <w:top w:space="5"/>
          <w:left w:space="5"/>
          <w:bottom w:space="5"/>
          <w:right w:space="5"/>
        </w:pBdr>
        <w:spacing w:after="0"/>
        <w:ind w:left="225"/>
        <w:jc w:val="left"/>
      </w:pPr>
      <w:r>
        <w:rPr>
          <w:rFonts w:ascii="Times New Roman" w:hAnsi="Times New Roman"/>
          <w:b w:val="false"/>
          <w:i w:val="false"/>
          <w:color w:val="000000"/>
          <w:sz w:val="22"/>
        </w:rPr>
        <w:t>(6) Any other documents relevant to the protest;</w:t>
      </w:r>
    </w:p>
    <w:p>
      <w:pPr>
        <w:pBdr>
          <w:top w:space="5"/>
          <w:left w:space="5"/>
          <w:bottom w:space="5"/>
          <w:right w:space="5"/>
        </w:pBdr>
        <w:spacing w:after="0"/>
        <w:ind w:left="225"/>
        <w:jc w:val="left"/>
      </w:pPr>
      <w:r>
        <w:rPr>
          <w:rFonts w:ascii="Times New Roman" w:hAnsi="Times New Roman"/>
          <w:b w:val="false"/>
          <w:i w:val="false"/>
          <w:color w:val="000000"/>
          <w:sz w:val="22"/>
        </w:rPr>
        <w:t>(7) A statement signed by the contracting officer setting forth findings, actions, and recommendations; and</w:t>
      </w:r>
    </w:p>
    <w:p>
      <w:pPr>
        <w:pBdr>
          <w:top w:space="5"/>
          <w:left w:space="5"/>
          <w:bottom w:space="5"/>
          <w:right w:space="5"/>
        </w:pBdr>
        <w:spacing w:after="0"/>
        <w:ind w:left="225"/>
        <w:jc w:val="left"/>
      </w:pPr>
      <w:r>
        <w:rPr>
          <w:rFonts w:ascii="Times New Roman" w:hAnsi="Times New Roman"/>
          <w:b w:val="false"/>
          <w:i w:val="false"/>
          <w:color w:val="000000"/>
          <w:sz w:val="22"/>
        </w:rPr>
        <w:t>(8) Any additional evidence or information deemed necessary in determining the validity of the protest.</w:t>
      </w:r>
    </w:p>
    <!-- Created by docx4j 6.1.2 (Apache licensed) using REFERENCE JAXB in Oracle Java 15 on Linux -->
    <w:p>
      <w:pPr>
        <w:pStyle w:val="Heading3"/>
        <w:spacing w:after="199"/>
        <w:ind w:left="120"/>
        <w:jc w:val="left"/>
      </w:pPr>
      <w:bookmarkStart w:name="DARS_33.104" w:id="3"/>
      <w:r>
        <w:rPr>
          <w:rFonts w:ascii="Times New Roman" w:hAnsi="Times New Roman"/>
          <w:color w:val="000000"/>
          <w:sz w:val="31"/>
        </w:rPr>
        <w:t>33.104</w:t>
      </w:r>
      <w:r>
        <w:rPr>
          <w:rFonts w:ascii="Times New Roman" w:hAnsi="Times New Roman"/>
          <w:color w:val="000000"/>
          <w:sz w:val="31"/>
        </w:rPr>
        <w:t xml:space="preserve"> Protest to GAO.</w:t>
      </w:r>
      <w:bookmarkEnd w:id="3"/>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225"/>
        <w:jc w:val="left"/>
      </w:pPr>
      <w:r>
        <w:rPr>
          <w:rFonts w:ascii="Times New Roman" w:hAnsi="Times New Roman"/>
          <w:b w:val="false"/>
          <w:i w:val="false"/>
          <w:color w:val="000000"/>
          <w:sz w:val="22"/>
        </w:rPr>
        <w:t>(1) 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make a decision to authorize award or continued performance within 3 business days of receipt of the written finding. The contracting officer shall immediately suspend performance while requesting an override.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must prepare the written finding to be signed by the HCA. However, no award can be made or selection announced prior to approval by the HCA. The contracting officer must also prepare a request for approval that identifies all protest issues and addresses the merits and expected resolution of the protest. Include details of any congressional interest in the protest.</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must prepare a written finding to be signed by the HCA.</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HCA Notification.</w:t>
      </w:r>
    </w:p>
    <w:p>
      <w:pPr>
        <w:pBdr>
          <w:top w:space="5"/>
          <w:left w:space="5"/>
          <w:bottom w:space="5"/>
          <w:right w:space="5"/>
        </w:pBdr>
        <w:spacing w:after="0"/>
        <w:ind w:left="225"/>
        <w:jc w:val="left"/>
      </w:pPr>
      <w:r>
        <w:rPr>
          <w:rFonts w:ascii="Times New Roman" w:hAnsi="Times New Roman"/>
          <w:b w:val="false"/>
          <w:i w:val="false"/>
          <w:color w:val="000000"/>
          <w:sz w:val="22"/>
        </w:rPr>
        <w:t>Upon receipt of a protest, the contracting officer shall immediately advise the CoCO, HCO and legal counsel.</w:t>
      </w:r>
    </w:p>
    <!-- Created by docx4j 6.1.2 (Apache licensed) using REFERENCE JAXB in Oracle Java 15 on Linux -->
    <w:p>
      <w:pPr>
        <w:pStyle w:val="Heading2"/>
        <w:spacing w:after="180"/>
        <w:ind w:left="120"/>
        <w:jc w:val="center"/>
      </w:pPr>
      <w:bookmarkStart w:name="DARS_SUBPART_33.2" w:id="4"/>
      <w:r>
        <w:rPr>
          <w:rFonts w:ascii="Times New Roman" w:hAnsi="Times New Roman"/>
          <w:color w:val="000000"/>
          <w:sz w:val="36"/>
        </w:rPr>
        <w:t>SUBPART 33.2</w:t>
      </w:r>
      <w:r>
        <w:rPr>
          <w:rFonts w:ascii="Times New Roman" w:hAnsi="Times New Roman"/>
          <w:color w:val="000000"/>
          <w:sz w:val="36"/>
        </w:rPr>
        <w:t xml:space="preserve"> –– DISPUTES AND APPEALS</w:t>
      </w:r>
      <w:bookmarkEnd w:id="4"/>
    </w:p>
    <!-- Created by docx4j 6.1.2 (Apache licensed) using REFERENCE JAXB in Oracle Java 15 on Linux -->
    <w:p>
      <w:pPr>
        <w:pStyle w:val="Heading3"/>
        <w:spacing w:after="199"/>
        <w:ind w:left="120"/>
        <w:jc w:val="left"/>
      </w:pPr>
      <w:bookmarkStart w:name="DARS_33.204" w:id="5"/>
      <w:r>
        <w:rPr>
          <w:rFonts w:ascii="Times New Roman" w:hAnsi="Times New Roman"/>
          <w:color w:val="000000"/>
          <w:sz w:val="31"/>
        </w:rPr>
        <w:t>33.204</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Upon receipt of a claim, the contracting officer shall immediately advise the CoCO, HCO, and legal counsel.</w:t>
      </w:r>
    </w:p>
    <!-- Created by docx4j 6.1.2 (Apache licensed) using REFERENCE JAXB in Oracle Java 15 on Linux -->
    <w:p>
      <w:pPr>
        <w:pStyle w:val="Heading3"/>
        <w:spacing w:after="199"/>
        <w:ind w:left="120"/>
        <w:jc w:val="left"/>
      </w:pPr>
      <w:bookmarkStart w:name="DARS_33.211" w:id="6"/>
      <w:r>
        <w:rPr>
          <w:rFonts w:ascii="Times New Roman" w:hAnsi="Times New Roman"/>
          <w:color w:val="000000"/>
          <w:sz w:val="31"/>
        </w:rPr>
        <w:t>33.211</w:t>
      </w:r>
      <w:r>
        <w:rPr>
          <w:rFonts w:ascii="Times New Roman" w:hAnsi="Times New Roman"/>
          <w:color w:val="000000"/>
          <w:sz w:val="31"/>
        </w:rPr>
        <w:t xml:space="preserve"> Contracting officer’s decision.</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coordinate with legal counsel and the CoCO and HCO prior to issuing a final decision.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Settlements.</w:t>
      </w:r>
      <w:r>
        <w:rPr>
          <w:rFonts w:ascii="Times New Roman" w:hAnsi="Times New Roman"/>
          <w:b w:val="false"/>
          <w:i w:val="false"/>
          <w:color w:val="000000"/>
          <w:sz w:val="22"/>
        </w:rPr>
        <w:t xml:space="preserve"> The contracting officer must coordinate with legal counsel, a DITCO Cost/Price Analyst, the CoCO, and the HCO on proposed settlement agreements.</w:t>
      </w:r>
    </w:p>
    <w:sectPr>
      <w:pgSz w:w="12240" w:h="15840" w:code="1"/>
      <w:pgMar w:top="1440" w:right="1440" w:bottom="1440" w:left="1440"/>
      <w:pgNumType w:start="1"/>
      <w:footerReference w:type="default" r:id="Rd013a12c46834d1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013a12c46834d1b" /><Relationship Type="http://schemas.openxmlformats.org/officeDocument/2006/relationships/hyperlink" Target="SUBPART_33.1.dita#DARS_SUBPART_33.1" TargetMode="External" Id="R485d7db0030d42de" /><Relationship Type="http://schemas.openxmlformats.org/officeDocument/2006/relationships/hyperlink" Target="33.103.dita#DARS_33.103" TargetMode="External" Id="R2adc0f59925d425b" /><Relationship Type="http://schemas.openxmlformats.org/officeDocument/2006/relationships/hyperlink" Target="33.104.dita#DARS_33.104" TargetMode="External" Id="R8761ad33f48140af" /><Relationship Type="http://schemas.openxmlformats.org/officeDocument/2006/relationships/hyperlink" Target="SUBPART_33.2.dita#DARS_SUBPART_33.2" TargetMode="External" Id="R4eb320dce9544d41" /><Relationship Type="http://schemas.openxmlformats.org/officeDocument/2006/relationships/hyperlink" Target="33.204.dita#DARS_33.204" TargetMode="External" Id="R54cf1c40fa864520" /><Relationship Type="http://schemas.openxmlformats.org/officeDocument/2006/relationships/hyperlink" Target="33.211.dita#DARS_33.211" TargetMode="External" Id="R9c25beee99ce4503" /><Relationship Type="http://schemas.openxmlformats.org/officeDocument/2006/relationships/hyperlink" Target="https://www.ditco.disa.mil/DITCOContractingTemplates/" TargetMode="External" Id="R3433b5ababf94d2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