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45" w:id="0"/>
      <w:r>
        <w:rPr>
          <w:rFonts w:ascii="Times New Roman" w:hAnsi="Times New Roman"/>
          <w:color w:val="000000"/>
        </w:rPr>
        <w:t>PART 45</w:t>
      </w:r>
      <w:r>
        <w:rPr>
          <w:rFonts w:ascii="Times New Roman" w:hAnsi="Times New Roman"/>
          <w:color w:val="000000"/>
        </w:rPr>
        <w:t xml:space="preserve"> –– GOVERNMENT PROPERTY</w:t>
      </w:r>
      <w:bookmarkEnd w:id="0"/>
    </w:p>
    <w:p>
      <w:pPr>
        <w:spacing w:after="0"/>
        <w:jc w:val="left"/>
        <w:ind w:left="720" w:hanging="360"/>
      </w:pPr>
      <w:hyperlink w:anchor="DARS_SUBPART_45.1">
        <w:r>
          <w:rPr>
            <w:rStyle w:val="Hyperlink"/>
            <w:rFonts w:ascii="Times New Roman" w:hAnsi="Times New Roman"/>
            <w:b w:val="false"/>
            <w:i w:val="false"/>
            <w:color w:val="0000ff"/>
            <w:sz w:val="22"/>
            <w:u w:val="single"/>
          </w:rPr>
          <w:t>SUBPART 45.1 — GENERAL</w:t>
        </w:r>
      </w:hyperlink>
    </w:p>
    <w:p>
      <w:pPr>
        <w:spacing w:after="0"/>
        <w:jc w:val="left"/>
        <w:ind w:left="1440" w:hanging="360"/>
      </w:pPr>
      <w:hyperlink w:anchor="DARS_45.000">
        <w:r>
          <w:rPr>
            <w:rStyle w:val="Hyperlink"/>
            <w:rFonts w:ascii="Times New Roman" w:hAnsi="Times New Roman"/>
            <w:b w:val="false"/>
            <w:i w:val="false"/>
            <w:color w:val="0000ff"/>
            <w:sz w:val="22"/>
            <w:u w:val="single"/>
          </w:rPr>
          <w:t>45.000 Scope of part.</w:t>
        </w:r>
      </w:hyperlink>
    </w:p>
    <w:p>
      <w:pPr>
        <w:spacing w:after="0"/>
        <w:jc w:val="left"/>
        <w:ind w:left="1440" w:hanging="360"/>
      </w:pPr>
      <w:hyperlink w:anchor="DARS_45.101">
        <w:r>
          <w:rPr>
            <w:rStyle w:val="Hyperlink"/>
            <w:rFonts w:ascii="Times New Roman" w:hAnsi="Times New Roman"/>
            <w:b w:val="false"/>
            <w:i w:val="false"/>
            <w:color w:val="0000ff"/>
            <w:sz w:val="22"/>
            <w:u w:val="single"/>
          </w:rPr>
          <w:t>45.101 Definitions.</w:t>
        </w:r>
      </w:hyperlink>
    </w:p>
    <w:p>
      <w:pPr>
        <w:spacing w:after="0"/>
        <w:jc w:val="left"/>
        <w:ind w:left="1440" w:hanging="360"/>
      </w:pPr>
      <w:hyperlink w:anchor="DARS_45.102">
        <w:r>
          <w:rPr>
            <w:rStyle w:val="Hyperlink"/>
            <w:rFonts w:ascii="Times New Roman" w:hAnsi="Times New Roman"/>
            <w:b w:val="false"/>
            <w:i w:val="false"/>
            <w:color w:val="0000ff"/>
            <w:sz w:val="22"/>
            <w:u w:val="single"/>
          </w:rPr>
          <w:t>45.102 Policy.</w:t>
        </w:r>
      </w:hyperlink>
    </w:p>
    <w:p>
      <w:pPr>
        <w:spacing w:after="0"/>
        <w:jc w:val="left"/>
        <w:ind w:left="1440" w:hanging="360"/>
      </w:pPr>
      <w:hyperlink w:anchor="DARS_45.105">
        <w:r>
          <w:rPr>
            <w:rStyle w:val="Hyperlink"/>
            <w:rFonts w:ascii="Times New Roman" w:hAnsi="Times New Roman"/>
            <w:b w:val="false"/>
            <w:i w:val="false"/>
            <w:color w:val="0000ff"/>
            <w:sz w:val="22"/>
            <w:u w:val="single"/>
          </w:rPr>
          <w:t>45.105 Contractors’ property management system compliance.</w:t>
        </w:r>
      </w:hyperlink>
    </w:p>
    <w:p>
      <w:pPr>
        <w:spacing w:after="0"/>
        <w:jc w:val="left"/>
        <w:ind w:left="1440" w:hanging="360"/>
      </w:pPr>
      <w:hyperlink w:anchor="DARS_45.106">
        <w:r>
          <w:rPr>
            <w:rStyle w:val="Hyperlink"/>
            <w:rFonts w:ascii="Times New Roman" w:hAnsi="Times New Roman"/>
            <w:b w:val="false"/>
            <w:i w:val="false"/>
            <w:color w:val="0000ff"/>
            <w:sz w:val="22"/>
            <w:u w:val="single"/>
          </w:rPr>
          <w:t>45.106 Transferring accountability.</w:t>
        </w:r>
      </w:hyperlink>
    </w:p>
    <w:p>
      <w:pPr>
        <w:spacing w:after="0"/>
        <w:jc w:val="left"/>
        <w:ind w:left="720" w:hanging="360"/>
      </w:pPr>
      <w:hyperlink w:anchor="DARS_SUBPART_45.2">
        <w:r>
          <w:rPr>
            <w:rStyle w:val="Hyperlink"/>
            <w:rFonts w:ascii="Times New Roman" w:hAnsi="Times New Roman"/>
            <w:b w:val="false"/>
            <w:i w:val="false"/>
            <w:color w:val="0000ff"/>
            <w:sz w:val="22"/>
            <w:u w:val="single"/>
          </w:rPr>
          <w:t>SUBPART 45.2 — SOLICITATION AND EVALUATION PROCEDURES</w:t>
        </w:r>
      </w:hyperlink>
    </w:p>
    <w:p>
      <w:pPr>
        <w:spacing w:after="0"/>
        <w:jc w:val="left"/>
        <w:ind w:left="1440" w:hanging="360"/>
      </w:pPr>
      <w:hyperlink w:anchor="DARS_45.201">
        <w:r>
          <w:rPr>
            <w:rStyle w:val="Hyperlink"/>
            <w:rFonts w:ascii="Times New Roman" w:hAnsi="Times New Roman"/>
            <w:b w:val="false"/>
            <w:i w:val="false"/>
            <w:color w:val="0000ff"/>
            <w:sz w:val="22"/>
            <w:u w:val="single"/>
          </w:rPr>
          <w:t>45.201 Solicitation.</w:t>
        </w:r>
      </w:hyperlink>
    </w:p>
    <!-- Created by docx4j 6.1.2 (Apache licensed) using REFERENCE JAXB in Oracle Java 15 on Linux -->
    <w:p>
      <w:pPr>
        <w:pStyle w:val="Heading2"/>
        <w:spacing w:after="180"/>
        <w:ind w:left="120"/>
        <w:jc w:val="center"/>
      </w:pPr>
      <w:bookmarkStart w:name="DARS_SUBPART_45.1" w:id="1"/>
      <w:r>
        <w:rPr>
          <w:rFonts w:ascii="Times New Roman" w:hAnsi="Times New Roman"/>
          <w:color w:val="000000"/>
          <w:sz w:val="36"/>
        </w:rPr>
        <w:t>SUBPART 45.1</w:t>
      </w:r>
      <w:r>
        <w:rPr>
          <w:rFonts w:ascii="Times New Roman" w:hAnsi="Times New Roman"/>
          <w:color w:val="000000"/>
          <w:sz w:val="36"/>
        </w:rPr>
        <w:t xml:space="preserve"> — GENERAL</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5.000" w:id="2"/>
      <w:r>
        <w:rPr>
          <w:rFonts w:ascii="Times New Roman" w:hAnsi="Times New Roman"/>
          <w:color w:val="000000"/>
          <w:sz w:val="31"/>
        </w:rPr>
        <w:t>45.000</w:t>
      </w:r>
      <w:r>
        <w:rPr>
          <w:rFonts w:ascii="Times New Roman" w:hAnsi="Times New Roman"/>
          <w:color w:val="000000"/>
          <w:sz w:val="31"/>
        </w:rPr>
        <w:t xml:space="preserve"> Scope of part.</w:t>
      </w:r>
      <w:bookmarkEnd w:id="2"/>
    </w:p>
    <w:p>
      <w:pPr>
        <w:pBdr>
          <w:top w:space="5"/>
          <w:left w:space="5"/>
          <w:bottom w:space="5"/>
          <w:right w:space="5"/>
        </w:pBdr>
        <w:spacing w:after="0"/>
        <w:ind w:left="225"/>
        <w:jc w:val="left"/>
      </w:pPr>
      <w:r>
        <w:rPr>
          <w:rFonts w:ascii="Times New Roman" w:hAnsi="Times New Roman"/>
          <w:b w:val="false"/>
          <w:i w:val="false"/>
          <w:color w:val="000000"/>
          <w:sz w:val="22"/>
        </w:rPr>
        <w:t>(b)(5) Contracting Officers shall insert DITCO Additional Text, H8 Defense Information System Agency Incidental Property Management, in all service requirement solicitations and contracts when the place of performance is a DISA owned or leased location.</w:t>
      </w:r>
    </w:p>
    <!-- Created by docx4j 6.1.2 (Apache licensed) using REFERENCE JAXB in Oracle Java 15 on Linux -->
    <w:p>
      <w:pPr>
        <w:pStyle w:val="Heading3"/>
        <w:spacing w:after="199"/>
        <w:ind w:left="120"/>
        <w:jc w:val="left"/>
      </w:pPr>
      <w:bookmarkStart w:name="DARS_45.101" w:id="3"/>
      <w:r>
        <w:rPr>
          <w:rFonts w:ascii="Times New Roman" w:hAnsi="Times New Roman"/>
          <w:color w:val="000000"/>
          <w:sz w:val="31"/>
        </w:rPr>
        <w:t>45.101</w:t>
      </w:r>
      <w:r>
        <w:rPr>
          <w:rFonts w:ascii="Times New Roman" w:hAnsi="Times New Roman"/>
          <w:color w:val="000000"/>
          <w:sz w:val="31"/>
        </w:rPr>
        <w:t xml:space="preserve"> Definitions.</w:t>
      </w:r>
      <w:bookmarkEnd w:id="3"/>
    </w:p>
    <w:p>
      <w:pPr>
        <w:pBdr>
          <w:top w:space="5"/>
          <w:left w:space="5"/>
          <w:bottom w:space="5"/>
          <w:right w:space="5"/>
        </w:pBdr>
        <w:spacing w:after="0"/>
        <w:ind w:left="225"/>
        <w:jc w:val="left"/>
      </w:pPr>
      <w:r>
        <w:rPr>
          <w:rFonts w:ascii="Times New Roman" w:hAnsi="Times New Roman"/>
          <w:b w:val="false"/>
          <w:i/>
          <w:color w:val="000000"/>
          <w:sz w:val="22"/>
        </w:rPr>
        <w:t>Transferred property</w:t>
      </w:r>
      <w:r>
        <w:rPr>
          <w:rFonts w:ascii="Times New Roman" w:hAnsi="Times New Roman"/>
          <w:b w:val="false"/>
          <w:i/>
          <w:color w:val="000000"/>
          <w:sz w:val="22"/>
        </w:rPr>
        <w:t>.</w:t>
      </w:r>
      <w:r>
        <w:rPr>
          <w:rFonts w:ascii="Times New Roman" w:hAnsi="Times New Roman"/>
          <w:b w:val="false"/>
          <w:i w:val="false"/>
          <w:color w:val="000000"/>
          <w:sz w:val="22"/>
        </w:rPr>
        <w:t xml:space="preserve"> Tangible items shipped from one contractor’s location to a different contractor’s location for a follow-on contract without inspection.</w:t>
      </w:r>
    </w:p>
    <w:p>
      <w:pPr>
        <w:pBdr>
          <w:top w:space="5"/>
          <w:left w:space="5"/>
          <w:bottom w:space="5"/>
          <w:right w:space="5"/>
        </w:pBdr>
        <w:spacing w:after="0"/>
        <w:ind w:left="225"/>
        <w:jc w:val="left"/>
      </w:pPr>
      <w:r>
        <w:rPr>
          <w:rFonts w:ascii="Times New Roman" w:hAnsi="Times New Roman"/>
          <w:b w:val="false"/>
          <w:i/>
          <w:color w:val="000000"/>
          <w:sz w:val="22"/>
        </w:rPr>
        <w:t>Transitioned property</w:t>
      </w:r>
      <w:r>
        <w:rPr>
          <w:rFonts w:ascii="Times New Roman" w:hAnsi="Times New Roman"/>
          <w:b w:val="false"/>
          <w:i/>
          <w:color w:val="000000"/>
          <w:sz w:val="22"/>
        </w:rPr>
        <w:t>.</w:t>
      </w:r>
      <w:r>
        <w:rPr>
          <w:rFonts w:ascii="Times New Roman" w:hAnsi="Times New Roman"/>
          <w:b w:val="false"/>
          <w:i w:val="false"/>
          <w:color w:val="000000"/>
          <w:sz w:val="22"/>
        </w:rPr>
        <w:t xml:space="preserve"> Direct-issued items such as laptops, cell phones, tablets which are not transferred. These items are transitioned by being turned over toa COR or property custodian on the last day of the contact for inspection, and any necessary provisioning/equipment refresh prior to being provided to a subsequent contractor.</w:t>
      </w:r>
    </w:p>
    <!-- Created by docx4j 6.1.2 (Apache licensed) using REFERENCE JAXB in Oracle Java 15 on Linux -->
    <w:p>
      <w:pPr>
        <w:pStyle w:val="Heading3"/>
        <w:spacing w:after="199"/>
        <w:ind w:left="120"/>
        <w:jc w:val="left"/>
      </w:pPr>
      <w:bookmarkStart w:name="DARS_45.102" w:id="4"/>
      <w:r>
        <w:rPr>
          <w:rFonts w:ascii="Times New Roman" w:hAnsi="Times New Roman"/>
          <w:color w:val="000000"/>
          <w:sz w:val="31"/>
        </w:rPr>
        <w:t>45.102</w:t>
      </w:r>
      <w:r>
        <w:rPr>
          <w:rFonts w:ascii="Times New Roman" w:hAnsi="Times New Roman"/>
          <w:color w:val="000000"/>
          <w:sz w:val="31"/>
        </w:rPr>
        <w:t xml:space="preserve"> Policy.</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(S-90) Contract Specialists shall complete the Government-Furnished Property (GFP) Checklist/Quick Reference Guide located in the </w:t>
      </w:r>
      <w:hyperlink r:id="R6c4129f056184c2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245.103 and review the GFP Questionnaire checklist located in the requirement checklist to develop the solicitation.</w:t>
      </w:r>
    </w:p>
    <!-- Created by docx4j 6.1.2 (Apache licensed) using REFERENCE JAXB in Oracle Java 15 on Linux -->
    <w:p>
      <w:pPr>
        <w:pStyle w:val="Heading3"/>
        <w:spacing w:after="199"/>
        <w:ind w:left="120"/>
        <w:jc w:val="left"/>
      </w:pPr>
      <w:bookmarkStart w:name="DARS_45.105" w:id="5"/>
      <w:r>
        <w:rPr>
          <w:rFonts w:ascii="Times New Roman" w:hAnsi="Times New Roman"/>
          <w:color w:val="000000"/>
          <w:sz w:val="31"/>
        </w:rPr>
        <w:t>45.105</w:t>
      </w:r>
      <w:r>
        <w:rPr>
          <w:rFonts w:ascii="Times New Roman" w:hAnsi="Times New Roman"/>
          <w:color w:val="000000"/>
          <w:sz w:val="31"/>
        </w:rPr>
        <w:t xml:space="preserve"> Contractors’ property management system compliance.</w:t>
      </w:r>
      <w:bookmarkEnd w:id="5"/>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insert DITCO Additional Text H9, Government Furnished Property Contract Management, in all contracts/orders that include GFP to establish a post award Property Management Plan and a Contractor Property Manager (CPM) Point of Contact (POC). The Property Administrator (or the COR in the absence of an appointed Property Administrator) shall review the contractor’s Property Management Plan IAW DITCO Additional Text H9, and notify the contractor of any deficiencies within 10 business days of receipt. A final Property Management Plan will be placed in the official contract file.</w:t>
      </w:r>
    </w:p>
    <!-- Created by docx4j 6.1.2 (Apache licensed) using REFERENCE JAXB in Oracle Java 15 on Linux -->
    <w:p>
      <w:pPr>
        <w:pStyle w:val="Heading3"/>
        <w:spacing w:after="199"/>
        <w:ind w:left="120"/>
        <w:jc w:val="left"/>
      </w:pPr>
      <w:bookmarkStart w:name="DARS_45.106" w:id="6"/>
      <w:r>
        <w:rPr>
          <w:rFonts w:ascii="Times New Roman" w:hAnsi="Times New Roman"/>
          <w:color w:val="000000"/>
          <w:sz w:val="31"/>
        </w:rPr>
        <w:t>45.106</w:t>
      </w:r>
      <w:r>
        <w:rPr>
          <w:rFonts w:ascii="Times New Roman" w:hAnsi="Times New Roman"/>
          <w:color w:val="000000"/>
          <w:sz w:val="31"/>
        </w:rPr>
        <w:t xml:space="preserve"> Transferring accountability.</w:t>
      </w:r>
      <w:bookmarkEnd w:id="6"/>
    </w:p>
    <w:p>
      <w:pPr>
        <w:pBdr>
          <w:top w:space="5"/>
          <w:left w:space="5"/>
          <w:bottom w:space="5"/>
          <w:right w:space="5"/>
        </w:pBdr>
        <w:spacing w:after="0"/>
        <w:ind w:left="225"/>
        <w:jc w:val="left"/>
      </w:pPr>
      <w:r>
        <w:rPr>
          <w:rFonts w:ascii="Times New Roman" w:hAnsi="Times New Roman"/>
          <w:b w:val="false"/>
          <w:i w:val="false"/>
          <w:color w:val="000000"/>
          <w:sz w:val="22"/>
        </w:rPr>
        <w:t>All GFP from losing contracts must be returned by the contractor to the Government in the PIEE GFP Module prior to or on the last day of the contract. The COR shall verify the appropriate action has been taken as part of their closeout procedures.</w:t>
      </w:r>
    </w:p>
    <w:p>
      <w:pPr>
        <w:pBdr>
          <w:top w:space="5"/>
          <w:left w:space="5"/>
          <w:bottom w:space="5"/>
          <w:right w:space="5"/>
        </w:pBdr>
        <w:spacing w:after="0"/>
        <w:ind w:left="225"/>
        <w:jc w:val="left"/>
      </w:pPr>
      <w:r>
        <w:rPr>
          <w:rFonts w:ascii="Times New Roman" w:hAnsi="Times New Roman"/>
          <w:b w:val="false"/>
          <w:i w:val="false"/>
          <w:color w:val="000000"/>
          <w:sz w:val="22"/>
        </w:rPr>
        <w:t>Transitioned property is incorporated as a new GFP item in the gaining contract.</w:t>
      </w:r>
    </w:p>
    <!-- Created by docx4j 6.1.2 (Apache licensed) using REFERENCE JAXB in Oracle Java 15 on Linux -->
    <w:p>
      <w:pPr>
        <w:pStyle w:val="Heading2"/>
        <w:spacing w:after="180"/>
        <w:ind w:left="120"/>
        <w:jc w:val="center"/>
      </w:pPr>
      <w:bookmarkStart w:name="DARS_SUBPART_45.2" w:id="7"/>
      <w:r>
        <w:rPr>
          <w:rFonts w:ascii="Times New Roman" w:hAnsi="Times New Roman"/>
          <w:color w:val="000000"/>
          <w:sz w:val="36"/>
        </w:rPr>
        <w:t>SUBPART 45.2</w:t>
      </w:r>
      <w:r>
        <w:rPr>
          <w:rFonts w:ascii="Times New Roman" w:hAnsi="Times New Roman"/>
          <w:color w:val="000000"/>
          <w:sz w:val="36"/>
        </w:rPr>
        <w:t xml:space="preserve"> — SOLICITATION AND EVALUATION PROCEDURES</w:t>
      </w:r>
      <w:bookmarkEnd w:id="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5.201" w:id="8"/>
      <w:r>
        <w:rPr>
          <w:rFonts w:ascii="Times New Roman" w:hAnsi="Times New Roman"/>
          <w:color w:val="000000"/>
          <w:sz w:val="31"/>
        </w:rPr>
        <w:t>45.201</w:t>
      </w:r>
      <w:r>
        <w:rPr>
          <w:rFonts w:ascii="Times New Roman" w:hAnsi="Times New Roman"/>
          <w:color w:val="000000"/>
          <w:sz w:val="31"/>
        </w:rPr>
        <w:t xml:space="preserve"> Solicitation.</w:t>
      </w:r>
      <w:bookmarkEnd w:id="8"/>
    </w:p>
    <w:p>
      <w:pPr>
        <w:pBdr>
          <w:top w:space="5"/>
          <w:left w:space="5"/>
          <w:bottom w:space="5"/>
          <w:right w:space="5"/>
        </w:pBdr>
        <w:spacing w:after="0"/>
        <w:ind w:left="225"/>
        <w:jc w:val="left"/>
      </w:pPr>
      <w:r>
        <w:rPr>
          <w:rFonts w:ascii="Times New Roman" w:hAnsi="Times New Roman"/>
          <w:b w:val="false"/>
          <w:i w:val="false"/>
          <w:color w:val="000000"/>
          <w:sz w:val="22"/>
        </w:rPr>
        <w:t>(S-90) When GFP is anticipated, include enclosure 18b, GFP Attachment (</w:t>
      </w:r>
      <w:hyperlink r:id="R2974cf8c8ab2414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https://www.ditco.disa.mil/contracts/SampleDocTemplates.asp</w:t>
        </w:r>
      </w:hyperlink>
      <w:r>
        <w:rPr>
          <w:rFonts w:ascii="Times New Roman" w:hAnsi="Times New Roman"/>
          <w:b w:val="false"/>
          <w:i w:val="false"/>
          <w:color w:val="000000"/>
          <w:sz w:val="22"/>
        </w:rPr>
        <w:t>) or the downloaded GFP attachment from the GFP module (</w:t>
      </w:r>
      <w:hyperlink r:id="R0c84c968b0464a4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https://piee.eb.mil</w:t>
        </w:r>
      </w:hyperlink>
      <w:r>
        <w:rPr>
          <w:rFonts w:ascii="Times New Roman" w:hAnsi="Times New Roman"/>
          <w:b w:val="false"/>
          <w:i w:val="false"/>
          <w:color w:val="000000"/>
          <w:sz w:val="22"/>
        </w:rPr>
        <w:t>/), in all solicitations.</w:t>
      </w:r>
    </w:p>
    <w:p>
      <w:pPr>
        <w:pBdr>
          <w:top w:space="5"/>
          <w:left w:space="5"/>
          <w:bottom w:space="5"/>
          <w:right w:space="5"/>
        </w:pBdr>
        <w:spacing w:after="0"/>
        <w:ind w:left="225"/>
        <w:jc w:val="left"/>
      </w:pPr>
      <w:r>
        <w:rPr>
          <w:rFonts w:ascii="Times New Roman" w:hAnsi="Times New Roman"/>
          <w:b w:val="false"/>
          <w:i w:val="false"/>
          <w:color w:val="000000"/>
          <w:sz w:val="22"/>
        </w:rPr>
        <w:t>For letter solicitations, or any solicitation not using a standard 13 digit solicitation number, the GFP Attachment Excel document at 18b is the preferred format.</w:t>
      </w:r>
    </w:p>
    <w:p>
      <w:pPr>
        <w:pBdr>
          <w:top w:space="5"/>
          <w:left w:space="5"/>
          <w:bottom w:space="5"/>
          <w:right w:space="5"/>
        </w:pBdr>
        <w:spacing w:after="0"/>
        <w:ind w:left="225"/>
        <w:jc w:val="left"/>
      </w:pPr>
      <w:r>
        <w:rPr>
          <w:rFonts w:ascii="Times New Roman" w:hAnsi="Times New Roman"/>
          <w:b w:val="false"/>
          <w:i w:val="false"/>
          <w:color w:val="000000"/>
          <w:sz w:val="22"/>
        </w:rPr>
        <w:t>When the amount of GFP could vary in performance based acquisitions or other similar acquisition types, the GFP Attachment Excel document may list a reasonable range for the quantity of GFP to be provided in the solicitation. This will allow the offeror to propose the exact number of GFP items within the listed range.</w:t>
      </w:r>
    </w:p>
    <w:sectPr>
      <w:pgSz w:w="12240" w:h="15840" w:code="1"/>
      <w:pgMar w:top="1440" w:right="1440" w:bottom="1440" w:left="1440"/>
      <w:pgNumType w:start="1"/>
      <w:footerReference w:type="default" r:id="R4da55f9ee3e04ae4"/>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4da55f9ee3e04ae4" /><Relationship Type="http://schemas.openxmlformats.org/officeDocument/2006/relationships/hyperlink" Target="SUBPART_45.1.dita#DARS_SUBPART_45.1" TargetMode="External" Id="R5dc7162bc9fd43f9" /><Relationship Type="http://schemas.openxmlformats.org/officeDocument/2006/relationships/hyperlink" Target="45.000.dita#DARS_45.000" TargetMode="External" Id="R866ecf14fee44a56" /><Relationship Type="http://schemas.openxmlformats.org/officeDocument/2006/relationships/hyperlink" Target="45.101.dita#DARS_45.101" TargetMode="External" Id="R7a2a6e48321841f6" /><Relationship Type="http://schemas.openxmlformats.org/officeDocument/2006/relationships/hyperlink" Target="45.102.dita#DARS_45.102" TargetMode="External" Id="Rd5a2537fdf894066" /><Relationship Type="http://schemas.openxmlformats.org/officeDocument/2006/relationships/hyperlink" Target="45.105.dita#DARS_45.105" TargetMode="External" Id="Rcc6acd69cae84403" /><Relationship Type="http://schemas.openxmlformats.org/officeDocument/2006/relationships/hyperlink" Target="45.106.dita#DARS_45.106" TargetMode="External" Id="R88923d797c354e25" /><Relationship Type="http://schemas.openxmlformats.org/officeDocument/2006/relationships/hyperlink" Target="SUBPART_45.2.dita#DARS_SUBPART_45.2" TargetMode="External" Id="Rfb181c9ed73d4c16" /><Relationship Type="http://schemas.openxmlformats.org/officeDocument/2006/relationships/hyperlink" Target="45.201.dita#DARS_45.201" TargetMode="External" Id="R982aa09fbe9748e7" /><Relationship Type="http://schemas.openxmlformats.org/officeDocument/2006/relationships/hyperlink" Target="https://disa.deps.mil/org/PL2/Pages/DITCORefs.aspx?RootFolder=%2Forg%2FPL2%2FOther%2FPROCEDURES%20GUIDES%20AND%20INSTRUCTIONS%20%28PGI%29&amp;FolderCTID=0x012000175D246D4A108E42B091C3F17BE4BDFE&amp;View=%7B998EB6D7-DD02-4224-9626-13F9934F7F4C%7D" TargetMode="External" Id="R6c4129f056184c28" /><Relationship Type="http://schemas.openxmlformats.org/officeDocument/2006/relationships/hyperlink" Target="https://www.ditco.disa.mil/contracts/SampleDocTemplates.asp" TargetMode="External" Id="R2974cf8c8ab24140" /><Relationship Type="http://schemas.openxmlformats.org/officeDocument/2006/relationships/hyperlink" Target="https://piee.eb.mil/" TargetMode="External" Id="R0c84c968b0464a4f"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