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7" w:id="0"/>
      <w:r>
        <w:rPr>
          <w:rFonts w:ascii="Times New Roman" w:hAnsi="Times New Roman"/>
          <w:color w:val="000000"/>
        </w:rPr>
        <w:t>PART 7</w:t>
      </w:r>
      <w:r>
        <w:rPr>
          <w:rFonts w:ascii="Times New Roman" w:hAnsi="Times New Roman"/>
          <w:color w:val="000000"/>
        </w:rPr>
        <w:t xml:space="preserve"> –– ACQUISITION PLANNING</w:t>
      </w:r>
      <w:bookmarkEnd w:id="0"/>
    </w:p>
    <w:p>
      <w:pPr>
        <w:spacing w:after="0"/>
        <w:jc w:val="left"/>
        <w:ind w:left="720" w:hanging="360"/>
      </w:pPr>
      <w:hyperlink w:anchor="DARS_SUBPART_7.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ARS_7.101">
        <w:r>
          <w:rPr>
            <w:rStyle w:val="Hyperlink"/>
            <w:rFonts w:ascii="Times New Roman" w:hAnsi="Times New Roman"/>
            <w:b w:val="false"/>
            <w:i w:val="false"/>
            <w:color w:val="0000ff"/>
            <w:sz w:val="22"/>
            <w:u w:val="single"/>
          </w:rPr>
          <w:t>7.101 Definitions.</w:t>
        </w:r>
      </w:hyperlink>
    </w:p>
    <w:p>
      <w:pPr>
        <w:spacing w:after="0"/>
        <w:jc w:val="left"/>
        <w:ind w:left="1440" w:hanging="360"/>
      </w:pPr>
      <w:hyperlink w:anchor="DARS_7.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ARS_7.104">
        <w:r>
          <w:rPr>
            <w:rStyle w:val="Hyperlink"/>
            <w:rFonts w:ascii="Times New Roman" w:hAnsi="Times New Roman"/>
            <w:b w:val="false"/>
            <w:i w:val="false"/>
            <w:color w:val="0000ff"/>
            <w:sz w:val="22"/>
            <w:u w:val="single"/>
          </w:rPr>
          <w:t>7.104 General procedures</w:t>
        </w:r>
      </w:hyperlink>
    </w:p>
    <w:p>
      <w:pPr>
        <w:spacing w:after="0"/>
        <w:jc w:val="left"/>
        <w:ind w:left="1440" w:hanging="360"/>
      </w:pPr>
      <w:hyperlink w:anchor="DARS_7.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ARS_7.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ARS_7.1072">
        <w:r>
          <w:rPr>
            <w:rStyle w:val="Hyperlink"/>
            <w:rFonts w:ascii="Times New Roman" w:hAnsi="Times New Roman"/>
            <w:b w:val="false"/>
            <w:i w:val="false"/>
            <w:color w:val="0000ff"/>
            <w:sz w:val="22"/>
            <w:u w:val="single"/>
          </w:rPr>
          <w:t>7.107-2 Consolidation.</w:t>
        </w:r>
      </w:hyperlink>
    </w:p>
    <!-- Created by docx4j 6.1.2 (Apache licensed) using REFERENCE JAXB in Oracle Java 15 on Linux -->
    <w:p>
      <w:pPr>
        <w:pStyle w:val="Heading2"/>
        <w:spacing w:after="180"/>
        <w:ind w:left="120"/>
        <w:jc w:val="center"/>
      </w:pPr>
      <w:bookmarkStart w:name="DARS_SUBPART_7.1" w:id="1"/>
      <w:r>
        <w:rPr>
          <w:rFonts w:ascii="Times New Roman" w:hAnsi="Times New Roman"/>
          <w:color w:val="000000"/>
          <w:sz w:val="36"/>
        </w:rPr>
        <w:t>SUBPART 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1" w:id="2"/>
      <w:r>
        <w:rPr>
          <w:rFonts w:ascii="Times New Roman" w:hAnsi="Times New Roman"/>
          <w:color w:val="000000"/>
          <w:sz w:val="31"/>
        </w:rPr>
        <w:t>7.101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color w:val="000000"/>
          <w:sz w:val="22"/>
        </w:rPr>
        <w:t>Component Acquisition Executive (CAE).</w:t>
      </w:r>
      <w:r>
        <w:rPr>
          <w:rFonts w:ascii="Times New Roman" w:hAnsi="Times New Roman"/>
          <w:b w:val="false"/>
          <w:i w:val="false"/>
          <w:color w:val="000000"/>
          <w:sz w:val="22"/>
        </w:rPr>
        <w:t xml:space="preserve"> The CAE has oversight and review authority for all acquisition matters. The CAE has the authority and is accountable for all acquisition functions and activities in the Agency. (Source: DISAI 610-225- 2)</w:t>
      </w:r>
    </w:p>
    <w:p>
      <w:pPr>
        <w:pBdr>
          <w:top w:space="5"/>
          <w:left w:space="5"/>
          <w:bottom w:space="5"/>
          <w:right w:space="5"/>
        </w:pBdr>
        <w:spacing w:after="0"/>
        <w:ind w:left="225"/>
        <w:jc w:val="left"/>
      </w:pPr>
      <w:r>
        <w:rPr>
          <w:rFonts w:ascii="Times New Roman" w:hAnsi="Times New Roman"/>
          <w:b w:val="false"/>
          <w:i/>
          <w:color w:val="000000"/>
          <w:sz w:val="22"/>
        </w:rPr>
        <w:t>Procurement Services Executive (PSE).</w:t>
      </w:r>
      <w:r>
        <w:rPr>
          <w:rFonts w:ascii="Times New Roman" w:hAnsi="Times New Roman"/>
          <w:b w:val="false"/>
          <w:i w:val="false"/>
          <w:color w:val="000000"/>
          <w:sz w:val="22"/>
        </w:rPr>
        <w:t xml:space="preserve"> Serves as the DISA HCA.</w:t>
      </w:r>
    </w:p>
    <w:p>
      <w:pPr>
        <w:pBdr>
          <w:top w:space="5"/>
          <w:left w:space="5"/>
          <w:bottom w:space="5"/>
          <w:right w:space="5"/>
        </w:pBdr>
        <w:spacing w:after="0"/>
        <w:ind w:left="225"/>
        <w:jc w:val="left"/>
      </w:pPr>
      <w:r>
        <w:rPr>
          <w:rFonts w:ascii="Times New Roman" w:hAnsi="Times New Roman"/>
          <w:b w:val="false"/>
          <w:i/>
          <w:color w:val="000000"/>
          <w:sz w:val="22"/>
        </w:rPr>
        <w:t>DISA Mission Partner</w:t>
      </w:r>
      <w:r>
        <w:rPr>
          <w:rFonts w:ascii="Times New Roman" w:hAnsi="Times New Roman"/>
          <w:b w:val="false"/>
          <w:i w:val="false"/>
          <w:color w:val="000000"/>
          <w:sz w:val="22"/>
        </w:rPr>
        <w:t>. Internal DISA program office (i.e., requirements office).</w:t>
      </w:r>
    </w:p>
    <w:p>
      <w:pPr>
        <w:pBdr>
          <w:top w:space="5"/>
          <w:left w:space="5"/>
          <w:bottom w:space="5"/>
          <w:right w:space="5"/>
        </w:pBdr>
        <w:spacing w:after="0"/>
        <w:ind w:left="225"/>
        <w:jc w:val="left"/>
      </w:pPr>
      <w:r>
        <w:rPr>
          <w:rFonts w:ascii="Times New Roman" w:hAnsi="Times New Roman"/>
          <w:b w:val="false"/>
          <w:i/>
          <w:color w:val="000000"/>
          <w:sz w:val="22"/>
        </w:rPr>
        <w:t>DISA Program/Project</w:t>
      </w:r>
      <w:r>
        <w:rPr>
          <w:rFonts w:ascii="Times New Roman" w:hAnsi="Times New Roman"/>
          <w:b w:val="false"/>
          <w:i w:val="false"/>
          <w:color w:val="000000"/>
          <w:sz w:val="22"/>
        </w:rPr>
        <w:t>. A DISA funded logical grouping of requirements designed to provide a new, improved, or continuing capability in response to a validated operational capability.</w:t>
      </w:r>
    </w:p>
    <w:p>
      <w:pPr>
        <w:pBdr>
          <w:top w:space="5"/>
          <w:left w:space="5"/>
          <w:bottom w:space="5"/>
          <w:right w:space="5"/>
        </w:pBdr>
        <w:spacing w:after="0"/>
        <w:ind w:left="225"/>
        <w:jc w:val="left"/>
      </w:pPr>
      <w:r>
        <w:rPr>
          <w:rFonts w:ascii="Times New Roman" w:hAnsi="Times New Roman"/>
          <w:b w:val="false"/>
          <w:i/>
          <w:color w:val="000000"/>
          <w:sz w:val="22"/>
        </w:rPr>
        <w:t>High-Risk Contracts.</w:t>
      </w:r>
      <w:r>
        <w:rPr>
          <w:rFonts w:ascii="Times New Roman" w:hAnsi="Times New Roman"/>
          <w:b w:val="false"/>
          <w:i w:val="false"/>
          <w:color w:val="000000"/>
          <w:sz w:val="22"/>
        </w:rPr>
        <w:t xml:space="preserve"> Non-competitive or limited competition contracts, cost reimbursement (CR) contracts, time-and-materials (T&amp;M) contracts, and labor-hour (LH) contracts. The definition of high-risk does not include direct 8(a) contracts equal to or below the competitive threshold in FAR 19.805-1(a)(2).</w:t>
      </w:r>
    </w:p>
    <w:p>
      <w:pPr>
        <w:pBdr>
          <w:top w:space="5"/>
          <w:left w:space="5"/>
          <w:bottom w:space="5"/>
          <w:right w:space="5"/>
        </w:pBdr>
        <w:spacing w:after="0"/>
        <w:ind w:left="225"/>
        <w:jc w:val="left"/>
      </w:pPr>
      <w:r>
        <w:rPr>
          <w:rFonts w:ascii="Times New Roman" w:hAnsi="Times New Roman"/>
          <w:b w:val="false"/>
          <w:i/>
          <w:color w:val="000000"/>
          <w:sz w:val="22"/>
        </w:rPr>
        <w:t>High-Risk Contract</w:t>
      </w:r>
      <w:r>
        <w:rPr>
          <w:rFonts w:ascii="Times New Roman" w:hAnsi="Times New Roman"/>
          <w:b w:val="false"/>
          <w:i/>
          <w:color w:val="000000"/>
          <w:sz w:val="22"/>
        </w:rPr>
        <w:t>Line Item</w:t>
      </w:r>
      <w:r>
        <w:rPr>
          <w:rFonts w:ascii="Times New Roman" w:hAnsi="Times New Roman"/>
          <w:b w:val="false"/>
          <w:i/>
          <w:color w:val="000000"/>
          <w:sz w:val="22"/>
        </w:rPr>
        <w:t>Numbers (CLIN)</w:t>
      </w:r>
      <w:r>
        <w:rPr>
          <w:rFonts w:ascii="Times New Roman" w:hAnsi="Times New Roman"/>
          <w:b w:val="false"/>
          <w:i w:val="false"/>
          <w:color w:val="000000"/>
          <w:sz w:val="22"/>
        </w:rPr>
        <w:t>. CR, T&amp;M, and LH CLINs. When a combination of CLIN types are used (sometimes referred to as a “hybrid”), the contract is considered high-risk if the high-risk CLINs constitute 50% or more of the total estimated cost.</w:t>
      </w:r>
    </w:p>
    <w:p>
      <w:pPr>
        <w:pBdr>
          <w:top w:space="5"/>
          <w:left w:space="5"/>
          <w:bottom w:space="5"/>
          <w:right w:space="5"/>
        </w:pBdr>
        <w:spacing w:after="0"/>
        <w:ind w:left="225"/>
        <w:jc w:val="left"/>
      </w:pPr>
      <w:r>
        <w:rPr>
          <w:rFonts w:ascii="Times New Roman" w:hAnsi="Times New Roman"/>
          <w:b w:val="false"/>
          <w:i/>
          <w:color w:val="000000"/>
          <w:sz w:val="22"/>
        </w:rPr>
        <w:t>Integrated Product (or Process) Team (IPT).</w:t>
      </w:r>
      <w:r>
        <w:rPr>
          <w:rFonts w:ascii="Times New Roman" w:hAnsi="Times New Roman"/>
          <w:b w:val="false"/>
          <w:i w:val="false"/>
          <w:color w:val="000000"/>
          <w:sz w:val="22"/>
        </w:rPr>
        <w:t xml:space="preserve"> A cross-functional team formed for the specific purpose of delivering a capability for an external or internal mission partner.</w:t>
      </w:r>
    </w:p>
    <w:p>
      <w:pPr>
        <w:pBdr>
          <w:top w:space="5"/>
          <w:left w:space="5"/>
          <w:bottom w:space="5"/>
          <w:right w:space="5"/>
        </w:pBdr>
        <w:spacing w:after="0"/>
        <w:ind w:left="225"/>
        <w:jc w:val="left"/>
      </w:pPr>
      <w:r>
        <w:rPr>
          <w:rFonts w:ascii="Times New Roman" w:hAnsi="Times New Roman"/>
          <w:b w:val="false"/>
          <w:i/>
          <w:color w:val="000000"/>
          <w:sz w:val="22"/>
        </w:rPr>
        <w:t>Independent Government Cost Estimate (IGCE).</w:t>
      </w:r>
      <w:r>
        <w:rPr>
          <w:rFonts w:ascii="Times New Roman" w:hAnsi="Times New Roman"/>
          <w:b w:val="false"/>
          <w:i w:val="false"/>
          <w:color w:val="000000"/>
          <w:sz w:val="22"/>
        </w:rPr>
        <w:t xml:space="preserve"> The IGCE is a required evaluation tool in DISA source selections. As such its integrity is critical, and the PMO shall be responsible for ensuring that appropriate technical and cost and price analysts are involved in its development.</w:t>
      </w:r>
    </w:p>
    <w:p>
      <w:pPr>
        <w:pBdr>
          <w:top w:space="5"/>
          <w:left w:space="5"/>
          <w:bottom w:space="5"/>
          <w:right w:space="5"/>
        </w:pBdr>
        <w:spacing w:after="0"/>
        <w:ind w:left="225"/>
        <w:jc w:val="left"/>
      </w:pPr>
      <w:r>
        <w:rPr>
          <w:rFonts w:ascii="Times New Roman" w:hAnsi="Times New Roman"/>
          <w:b w:val="false"/>
          <w:i/>
          <w:color w:val="000000"/>
          <w:sz w:val="22"/>
        </w:rPr>
        <w:t>Non-DISA Mission Partner.</w:t>
      </w:r>
      <w:r>
        <w:rPr>
          <w:rFonts w:ascii="Times New Roman" w:hAnsi="Times New Roman"/>
          <w:b w:val="false"/>
          <w:i w:val="false"/>
          <w:color w:val="000000"/>
          <w:sz w:val="22"/>
        </w:rPr>
        <w:t xml:space="preserve"> An external program office (i.e., requirements office), such as other DoD Components and Federal Agencies.</w:t>
      </w:r>
    </w:p>
    <w:p>
      <w:pPr>
        <w:pBdr>
          <w:top w:space="5"/>
          <w:left w:space="5"/>
          <w:bottom w:space="5"/>
          <w:right w:space="5"/>
        </w:pBdr>
        <w:spacing w:after="0"/>
        <w:ind w:left="225"/>
        <w:jc w:val="left"/>
      </w:pPr>
      <w:r>
        <w:rPr>
          <w:rFonts w:ascii="Times New Roman" w:hAnsi="Times New Roman"/>
          <w:b w:val="false"/>
          <w:i/>
          <w:color w:val="000000"/>
          <w:sz w:val="22"/>
        </w:rPr>
        <w:t>Program Executive Officer (PEO).</w:t>
      </w:r>
      <w:r>
        <w:rPr>
          <w:rFonts w:ascii="Times New Roman" w:hAnsi="Times New Roman"/>
          <w:b w:val="false"/>
          <w:i w:val="false"/>
          <w:color w:val="000000"/>
          <w:sz w:val="22"/>
        </w:rPr>
        <w:t xml:space="preserve"> Appointed by the CAE to manage portfolios of programs, projects, initiatives, and services. (Source: DISAI 610-225-2)</w:t>
      </w:r>
    </w:p>
    <w:p>
      <w:pPr>
        <w:pBdr>
          <w:top w:space="5"/>
          <w:left w:space="5"/>
          <w:bottom w:space="5"/>
          <w:right w:space="5"/>
        </w:pBdr>
        <w:spacing w:after="0"/>
        <w:ind w:left="225"/>
        <w:jc w:val="left"/>
      </w:pPr>
      <w:r>
        <w:rPr>
          <w:rFonts w:ascii="Times New Roman" w:hAnsi="Times New Roman"/>
          <w:b w:val="false"/>
          <w:i/>
          <w:color w:val="000000"/>
          <w:sz w:val="22"/>
        </w:rPr>
        <w:t>Program Manager (PM) or Program Management Office (PMO).</w:t>
      </w:r>
      <w:r>
        <w:rPr>
          <w:rFonts w:ascii="Times New Roman" w:hAnsi="Times New Roman"/>
          <w:b w:val="false"/>
          <w:i w:val="false"/>
          <w:color w:val="000000"/>
          <w:sz w:val="22"/>
        </w:rPr>
        <w:t xml:space="preserve"> The designated person (i.e., requirements official) or office responsible for the planning function of all phases of the acquisition cycle, and develops and maintains written plans, as required by statute, policy or regulation.</w:t>
      </w:r>
    </w:p>
    <w:p>
      <w:pPr>
        <w:pBdr>
          <w:top w:space="5"/>
          <w:left w:space="5"/>
          <w:bottom w:space="5"/>
          <w:right w:space="5"/>
        </w:pBdr>
        <w:spacing w:after="0"/>
        <w:ind w:left="225"/>
        <w:jc w:val="left"/>
      </w:pPr>
      <w:r>
        <w:rPr>
          <w:rFonts w:ascii="Times New Roman" w:hAnsi="Times New Roman"/>
          <w:b w:val="false"/>
          <w:i/>
          <w:color w:val="000000"/>
          <w:sz w:val="22"/>
        </w:rPr>
        <w:t>Decision Authority (DA).</w:t>
      </w:r>
      <w:r>
        <w:rPr>
          <w:rFonts w:ascii="Times New Roman" w:hAnsi="Times New Roman"/>
          <w:b w:val="false"/>
          <w:i w:val="false"/>
          <w:color w:val="000000"/>
          <w:sz w:val="22"/>
        </w:rP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 Created by docx4j 6.1.2 (Apache licensed) using REFERENCE JAXB in Oracle Java 15 on Linux -->
    <w:p>
      <w:pPr>
        <w:pStyle w:val="Heading3"/>
        <w:spacing w:after="199"/>
        <w:ind w:left="120"/>
        <w:jc w:val="left"/>
      </w:pPr>
      <w:bookmarkStart w:name="DARS_7.103" w:id="3"/>
      <w:r>
        <w:rPr>
          <w:rFonts w:ascii="Times New Roman" w:hAnsi="Times New Roman"/>
          <w:color w:val="000000"/>
          <w:sz w:val="31"/>
        </w:rPr>
        <w:t>7.103</w:t>
      </w:r>
      <w:r>
        <w:rPr>
          <w:rFonts w:ascii="Times New Roman" w:hAnsi="Times New Roman"/>
          <w:color w:val="000000"/>
          <w:sz w:val="31"/>
        </w:rPr>
        <w:t xml:space="preserve"> Agency–head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(S-90) A written plan (combined AS/AP, standard, or streamlined) shall also be prepared for high risk contracts/CLINs as defined in subpart 7.101 (See Table 7-1 for thresholds and approval authority).</w:t>
      </w:r>
    </w:p>
    <w:p>
      <w:pPr>
        <w:pBdr>
          <w:top w:space="5"/>
          <w:left w:space="5"/>
          <w:bottom w:space="5"/>
          <w:right w:space="5"/>
        </w:pBdr>
        <w:spacing w:after="0"/>
        <w:ind w:left="225"/>
        <w:jc w:val="center"/>
      </w:pPr>
      <w:r>
        <w:rPr>
          <w:rFonts w:ascii="Times New Roman" w:hAnsi="Times New Roman"/>
          <w:b/>
          <w:i w:val="false"/>
          <w:color w:val="000000"/>
          <w:sz w:val="22"/>
        </w:rPr>
        <w:t>Table 7-1 Acquisition Plan Thresholds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Plan Type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Approver</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CR/High Risk (Order/Contract/IDIQ/BPA)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Contracts/IDIQs/BPAs for any FY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Exceptions.</w:t>
      </w:r>
    </w:p>
    <w:p>
      <w:pPr>
        <w:pBdr>
          <w:top w:space="5"/>
          <w:left w:space="5"/>
          <w:bottom w:space="5"/>
          <w:right w:space="5"/>
        </w:pBdr>
        <w:spacing w:after="0"/>
        <w:ind w:left="225"/>
        <w:jc w:val="left"/>
      </w:pPr>
      <w:r>
        <w:rPr>
          <w:rFonts w:ascii="Times New Roman" w:hAnsi="Times New Roman"/>
          <w:b w:val="false"/>
          <w:i w:val="false"/>
          <w:color w:val="000000"/>
          <w:sz w:val="22"/>
        </w:rPr>
        <w:t>(1) A written acquisition plan is not required when/for --</w:t>
      </w:r>
    </w:p>
    <w:p>
      <w:pPr>
        <w:pBdr>
          <w:top w:space="5"/>
          <w:left w:space="5"/>
          <w:bottom w:space="5"/>
          <w:right w:space="5"/>
        </w:pBdr>
        <w:spacing w:after="0"/>
        <w:ind w:left="225"/>
        <w:jc w:val="left"/>
      </w:pPr>
      <w:r>
        <w:rPr>
          <w:rFonts w:ascii="Times New Roman" w:hAnsi="Times New Roman"/>
          <w:b w:val="false"/>
          <w:i w:val="false"/>
          <w:color w:val="000000"/>
          <w:sz w:val="22"/>
        </w:rPr>
        <w:t>(i) Orders are placed against a single award ID/IQ or a single award BPA.</w:t>
      </w:r>
    </w:p>
    <w:p>
      <w:pPr>
        <w:pBdr>
          <w:top w:space="5"/>
          <w:left w:space="5"/>
          <w:bottom w:space="5"/>
          <w:right w:space="5"/>
        </w:pBdr>
        <w:spacing w:after="0"/>
        <w:ind w:left="225"/>
        <w:jc w:val="left"/>
      </w:pPr>
      <w:r>
        <w:rPr>
          <w:rFonts w:ascii="Times New Roman" w:hAnsi="Times New Roman"/>
          <w:b w:val="false"/>
          <w:i w:val="false"/>
          <w:color w:val="000000"/>
          <w:sz w:val="22"/>
        </w:rPr>
        <w:t>(ii) Directed 8(a) Procurements.</w:t>
      </w:r>
    </w:p>
    <w:p>
      <w:pPr>
        <w:pBdr>
          <w:top w:space="5"/>
          <w:left w:space="5"/>
          <w:bottom w:space="5"/>
          <w:right w:space="5"/>
        </w:pBdr>
        <w:spacing w:after="0"/>
        <w:ind w:left="225"/>
        <w:jc w:val="left"/>
      </w:pPr>
      <w:r>
        <w:rPr>
          <w:rFonts w:ascii="Times New Roman" w:hAnsi="Times New Roman"/>
          <w:b w:val="false"/>
          <w:i w:val="false"/>
          <w:color w:val="000000"/>
          <w:sz w:val="22"/>
        </w:rPr>
        <w:t>(iii)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(iv) Waived by the HCA (e.g., contingency; urgent requirements (for example, defend against a cyber-attack)). A justification will be placed in the contract file prior to awards or as practical after award.</w:t>
      </w:r>
    </w:p>
    <w:p>
      <w:pPr>
        <w:pBdr>
          <w:top w:space="5"/>
          <w:left w:space="5"/>
          <w:bottom w:space="5"/>
          <w:right w:space="5"/>
        </w:pBdr>
        <w:spacing w:after="0"/>
        <w:ind w:left="225"/>
        <w:jc w:val="left"/>
      </w:pPr>
      <w:r>
        <w:rPr>
          <w:rFonts w:ascii="Times New Roman" w:hAnsi="Times New Roman"/>
          <w:b w:val="false"/>
          <w:i w:val="false"/>
          <w:color w:val="000000"/>
          <w:sz w:val="22"/>
        </w:rPr>
        <w:t>(2) When an acquisition strategy is required, the use of a combined AS/AP is prohibited when</w:t>
      </w:r>
    </w:p>
    <w:p>
      <w:pPr>
        <w:pBdr>
          <w:top w:space="5"/>
          <w:left w:space="5"/>
          <w:bottom w:space="5"/>
          <w:right w:space="5"/>
        </w:pBdr>
        <w:spacing w:after="0"/>
        <w:ind w:left="225"/>
        <w:jc w:val="left"/>
      </w:pPr>
      <w:r>
        <w:rPr>
          <w:rFonts w:ascii="Times New Roman" w:hAnsi="Times New Roman"/>
          <w:b w:val="false"/>
          <w:i w:val="false"/>
          <w:color w:val="000000"/>
          <w:sz w:val="22"/>
        </w:rPr>
        <w:t>(i) The mission partner is Non-DISA;</w:t>
      </w:r>
    </w:p>
    <w:p>
      <w:pPr>
        <w:pBdr>
          <w:top w:space="5"/>
          <w:left w:space="5"/>
          <w:bottom w:space="5"/>
          <w:right w:space="5"/>
        </w:pBdr>
        <w:spacing w:after="0"/>
        <w:ind w:left="225"/>
        <w:jc w:val="left"/>
      </w:pPr>
      <w:r>
        <w:rPr>
          <w:rFonts w:ascii="Times New Roman" w:hAnsi="Times New Roman"/>
          <w:b w:val="false"/>
          <w:i w:val="false"/>
          <w:color w:val="000000"/>
          <w:sz w:val="22"/>
        </w:rPr>
        <w:t>(ii) An acquisition strategy covers multiple requirements.</w:t>
      </w:r>
    </w:p>
    <w:p>
      <w:pPr>
        <w:pBdr>
          <w:top w:space="5"/>
          <w:left w:space="5"/>
          <w:bottom w:space="5"/>
          <w:right w:space="5"/>
        </w:pBdr>
        <w:spacing w:after="0"/>
        <w:ind w:left="225"/>
        <w:jc w:val="left"/>
      </w:pPr>
      <w:r>
        <w:rPr>
          <w:rFonts w:ascii="Times New Roman" w:hAnsi="Times New Roman"/>
          <w:b w:val="false"/>
          <w:i w:val="false"/>
          <w:color w:val="000000"/>
          <w:sz w:val="22"/>
        </w:rPr>
        <w:t>(iii) The Acquisition will be signed by an official outside of DISA.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The Determination and Findings (D&amp;F) (required by FAR 16.504(c)(1)(ii)(D)) shall be routed with the AP.</w:t>
      </w:r>
    </w:p>
    <!-- Created by docx4j 6.1.2 (Apache licensed) using REFERENCE JAXB in Oracle Java 15 on Linux -->
    <w:p>
      <w:pPr>
        <w:pStyle w:val="Heading3"/>
        <w:spacing w:after="199"/>
        <w:ind w:left="120"/>
        <w:jc w:val="left"/>
      </w:pPr>
      <w:bookmarkStart w:name="DARS_7.104" w:id="4"/>
      <w:r>
        <w:rPr>
          <w:rFonts w:ascii="Times New Roman" w:hAnsi="Times New Roman"/>
          <w:color w:val="000000"/>
          <w:sz w:val="31"/>
        </w:rPr>
        <w:t>7.104</w:t>
      </w:r>
      <w:r>
        <w:rPr>
          <w:rFonts w:ascii="Times New Roman" w:hAnsi="Times New Roman"/>
          <w:color w:val="000000"/>
          <w:sz w:val="31"/>
        </w:rPr>
        <w:t xml:space="preserve"> General procedures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All Acquisition Plan templates, procedures, and supporting documentation templates are located in </w:t>
      </w:r>
      <w:hyperlink r:id="Raa43f356dbe44d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7.104(S-90). The templates are consistent with FAR 7.103 and DFARS 207.103 guidelines.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PMO shall provide a draft statement of objectives/performance work statement/statement of work, an IGCE or cost estimate, and the Market Research Report with a combined AS/AP or standard AP. The DISA IGCE Handbook can be found at </w:t>
      </w:r>
      <w:hyperlink r:id="Rc3a38341d3fd44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https://www.ditco.disa.mil/hq/deskbooks/DISA%20IGCE%20Deskbook.doc</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Market Research Report template can be found at </w:t>
      </w:r>
      <w:hyperlink r:id="Rf623d729f4024b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10.002(S-92).</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AP revisions</w:t>
      </w:r>
      <w:r>
        <w:rPr>
          <w:rFonts w:ascii="Times New Roman" w:hAnsi="Times New Roman"/>
          <w:b w:val="false"/>
          <w:i w:val="false"/>
          <w:color w:val="000000"/>
          <w:sz w:val="22"/>
        </w:rPr>
        <w:t xml:space="preserve">. Follow guidance at </w:t>
      </w:r>
      <w:hyperlink r:id="R1b07ea23896f4f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7.104(S-93) for pre-award or post-award AP revisions (limited to substantive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AP files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 The PMO shall maintain a copy with signatures of the combined AS/AP, standard AP, or streamlined AP, and any subsequent revisions.</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shall ensure the original approved combined AS/AP, standard AP, or streamlined AP, and any subsequent revisions, are incorporated in the official contract file.</w:t>
      </w:r>
    </w:p>
    <!-- Created by docx4j 6.1.2 (Apache licensed) using REFERENCE JAXB in Oracle Java 15 on Linux -->
    <w:p>
      <w:pPr>
        <w:pStyle w:val="Heading3"/>
        <w:spacing w:after="199"/>
        <w:ind w:left="120"/>
        <w:jc w:val="left"/>
      </w:pPr>
      <w:bookmarkStart w:name="DARS_7.105" w:id="5"/>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(b)(5) </w:t>
      </w:r>
      <w:r>
        <w:rPr>
          <w:rFonts w:ascii="Times New Roman" w:hAnsi="Times New Roman"/>
          <w:b w:val="false"/>
          <w:i/>
          <w:color w:val="000000"/>
          <w:sz w:val="22"/>
        </w:rPr>
        <w:t>Acquisition considerations.</w:t>
      </w:r>
      <w:r>
        <w:rPr>
          <w:rFonts w:ascii="Times New Roman" w:hAnsi="Times New Roman"/>
          <w:b w:val="false"/>
          <w:i w:val="false"/>
          <w:color w:val="000000"/>
          <w:sz w:val="22"/>
        </w:rPr>
        <w:t xml:space="preserve"> The AP should address the minimum guarantee (dollars to be obligated at contract award for the base period) and the maximum dollar amount to be ordered. (See FAR 16.504(a)(2) and DARS 16.504(S-90)).</w:t>
      </w:r>
    </w:p>
    <!-- Created by docx4j 6.1.2 (Apache licensed) using REFERENCE JAXB in Oracle Java 15 on Linux -->
    <w:p>
      <w:pPr>
        <w:pStyle w:val="Heading3"/>
        <w:spacing w:after="199"/>
        <w:ind w:left="120"/>
        <w:jc w:val="left"/>
      </w:pPr>
      <w:bookmarkStart w:name="DARS_7.107" w:id="6"/>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72" w:id="7"/>
      <w:r>
        <w:rPr>
          <w:rFonts w:ascii="Times New Roman" w:hAnsi="Times New Roman"/>
          <w:color w:val="000000"/>
          <w:sz w:val="31"/>
        </w:rPr>
        <w:t>7.107-2</w:t>
      </w:r>
      <w:r>
        <w:rPr>
          <w:rFonts w:ascii="Times New Roman" w:hAnsi="Times New Roman"/>
          <w:color w:val="000000"/>
          <w:sz w:val="31"/>
        </w:rPr>
        <w:t xml:space="preserve"> Consolidation.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HCA is the approval authority for consolidation determination and findings (D&amp;F). The DISA Office of Small Business Programs (OSBP) shall review the D&amp;F prior to being routed to the HCA for signature.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0adba9da61d84804"/>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340934d3e9874aa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0adba9da61d84804" /><Relationship Type="http://schemas.openxmlformats.org/officeDocument/2006/relationships/footer" Target="/word/footer11.xml" Id="R340934d3e9874aa8" /><Relationship Type="http://schemas.openxmlformats.org/officeDocument/2006/relationships/hyperlink" Target="SUBPART_7.1.dita#DARS_SUBPART_7.1" TargetMode="External" Id="R0ee297e1e56546e8" /><Relationship Type="http://schemas.openxmlformats.org/officeDocument/2006/relationships/hyperlink" Target="7.101.dita#DARS_7.101" TargetMode="External" Id="Ra43112fb67784258" /><Relationship Type="http://schemas.openxmlformats.org/officeDocument/2006/relationships/hyperlink" Target="7.103.dita#DARS_7.103" TargetMode="External" Id="R47f31df9ff0744bc" /><Relationship Type="http://schemas.openxmlformats.org/officeDocument/2006/relationships/hyperlink" Target="7.104.dita#DARS_7.104" TargetMode="External" Id="R61edd81c8fb04cae" /><Relationship Type="http://schemas.openxmlformats.org/officeDocument/2006/relationships/hyperlink" Target="7.105.dita#DARS_7.105" TargetMode="External" Id="R5d2c9b7fb522438a" /><Relationship Type="http://schemas.openxmlformats.org/officeDocument/2006/relationships/hyperlink" Target="7.107.dita#DARS_7.107" TargetMode="External" Id="R63cdcd7e2fc0478b" /><Relationship Type="http://schemas.openxmlformats.org/officeDocument/2006/relationships/hyperlink" Target="7.1072.dita#DARS_7.1072" TargetMode="External" Id="R47d0159d9c5d4748" /><Relationship Type="http://schemas.openxmlformats.org/officeDocument/2006/relationships/hyperlink" Target="https://disa.deps.mil/org/PL2/Pages/DITCORefs.aspx" TargetMode="External" Id="Raa43f356dbe44d8b" /><Relationship Type="http://schemas.openxmlformats.org/officeDocument/2006/relationships/hyperlink" Target="https://www.ditco.disa.mil/hq/deskbooks/DISA%20IGCE%20Deskbook.doc" TargetMode="External" Id="Rc3a38341d3fd44ae" /><Relationship Type="http://schemas.openxmlformats.org/officeDocument/2006/relationships/hyperlink" Target="https://disa.deps.mil/org/PL2/Pages/DITCORefs.aspx" TargetMode="External" Id="Rf623d729f4024bbf" /><Relationship Type="http://schemas.openxmlformats.org/officeDocument/2006/relationships/hyperlink" Target="https://disa.deps.mil/org/PL2/Pages/DITCORefs.aspx" TargetMode="External" Id="R1b07ea23896f4f8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