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bin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2" w:id="0"/>
      <w:r>
        <w:rPr>
          <w:rFonts w:ascii="Times New Roman" w:hAnsi="Times New Roman"/>
          <w:color w:val="000000"/>
        </w:rPr>
        <w:t>Part 12</w:t>
      </w:r>
      <w:r>
        <w:rPr>
          <w:rFonts w:ascii="Times New Roman" w:hAnsi="Times New Roman"/>
          <w:color w:val="000000"/>
        </w:rPr>
        <w:t xml:space="preserve"> - ACQUISITION OF COMMERCIAL ITEMS</w:t>
      </w:r>
      <w:bookmarkEnd w:id="0"/>
    </w:p>
    <w:p>
      <w:pPr>
        <w:spacing w:after="0"/>
        <w:jc w:val="left"/>
        <w:ind w:left="720" w:hanging="360"/>
      </w:pPr>
      <w:hyperlink w:anchor="DARS_SUBPART_12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12.4 - UNIQUE REQUIREMENTS REGARDING TERMS AND CONDITIONS FOR COMMERCIAL ITEMS</w:t>
        </w:r>
      </w:hyperlink>
    </w:p>
    <w:p>
      <w:pPr>
        <w:spacing w:after="0"/>
        <w:jc w:val="left"/>
        <w:ind w:left="1440" w:hanging="360"/>
      </w:pPr>
      <w:hyperlink w:anchor="DARS_12.4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12.403 Termination.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2.4" w:id="1"/>
      <w:r>
        <w:rPr>
          <w:rFonts w:ascii="Times New Roman" w:hAnsi="Times New Roman"/>
          <w:color w:val="000000"/>
          <w:sz w:val="36"/>
        </w:rPr>
        <w:t>Subpart 12.4</w:t>
      </w:r>
      <w:r>
        <w:rPr>
          <w:rFonts w:ascii="Times New Roman" w:hAnsi="Times New Roman"/>
          <w:color w:val="000000"/>
          <w:sz w:val="36"/>
        </w:rPr>
        <w:t xml:space="preserve"> - UNIQUE REQUIREMENTS REGARDING TERMS AND CONDITIONS FOR COMMERCIAL ITEMS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2.403" w:id="2"/>
      <w:r>
        <w:rPr>
          <w:rFonts w:ascii="Times New Roman" w:hAnsi="Times New Roman"/>
          <w:color w:val="000000"/>
          <w:sz w:val="31"/>
        </w:rPr>
        <w:t>12.403</w:t>
      </w:r>
      <w:r>
        <w:rPr>
          <w:rFonts w:ascii="Times New Roman" w:hAnsi="Times New Roman"/>
          <w:color w:val="000000"/>
          <w:sz w:val="31"/>
        </w:rPr>
        <w:t xml:space="preserve"> Termination.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Policy.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Contracting officers shall coordinate contract/order termination actions with the CoCO, HCO and legal counsel and, if the contractor is a small business concern, with the Office of Small Business Programs (OSBP). The HCO and HCA and will be updated in weekly DITCO SITREPs.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drawing>
          <wp:inline distT="0" distB="0" distL="0" distR="0">
            <wp:extent cx="5715000" cy="952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c8009faf80fa4be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code="1"/>
      <w:pgMar w:top="1440" w:right="1440" w:bottom="1440" w:left="1440"/>
      <w:pgNumType w:start="1"/>
      <w:footerReference w:type="default" r:id="Ra4a556528bd94516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image" Target="/media/image.bin" Id="Rc8009faf80fa4be1" /><Relationship Type="http://schemas.openxmlformats.org/officeDocument/2006/relationships/footer" Target="/word/footer11.xml" Id="Ra4a556528bd94516" /><Relationship Type="http://schemas.openxmlformats.org/officeDocument/2006/relationships/hyperlink" Target="SUBPART_12.4.dita#DARS_SUBPART_12.4" TargetMode="External" Id="Rde127b9584414545" /><Relationship Type="http://schemas.openxmlformats.org/officeDocument/2006/relationships/hyperlink" Target="12.403.dita#DARS_12.403" TargetMode="External" Id="R508ecd6821c34ae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