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B688" w14:textId="77777777" w:rsidR="000B4FF0" w:rsidRPr="00771FB6" w:rsidRDefault="000B4FF0" w:rsidP="00D13E3D">
      <w:pPr>
        <w:tabs>
          <w:tab w:val="left" w:pos="360"/>
          <w:tab w:val="left" w:pos="806"/>
          <w:tab w:val="left" w:pos="1210"/>
          <w:tab w:val="left" w:pos="1656"/>
          <w:tab w:val="left" w:pos="2131"/>
          <w:tab w:val="left" w:pos="2520"/>
        </w:tabs>
        <w:spacing w:after="0" w:line="240" w:lineRule="exact"/>
        <w:jc w:val="center"/>
        <w:outlineLvl w:val="3"/>
        <w:rPr>
          <w:rFonts w:ascii="Arial" w:hAnsi="Arial" w:cs="Arial"/>
          <w:b/>
          <w:bCs/>
          <w:sz w:val="24"/>
          <w:szCs w:val="24"/>
        </w:rPr>
      </w:pPr>
      <w:r w:rsidRPr="00771FB6">
        <w:rPr>
          <w:rFonts w:ascii="Arial" w:hAnsi="Arial" w:cs="Arial"/>
          <w:b/>
          <w:bCs/>
          <w:sz w:val="24"/>
          <w:szCs w:val="24"/>
        </w:rPr>
        <w:t>DFARS Case 2019-D009</w:t>
      </w:r>
    </w:p>
    <w:p w14:paraId="1CF86E61" w14:textId="77777777" w:rsidR="000B4FF0" w:rsidRPr="00771FB6" w:rsidRDefault="000B4FF0" w:rsidP="00D13E3D">
      <w:pPr>
        <w:tabs>
          <w:tab w:val="left" w:pos="360"/>
          <w:tab w:val="left" w:pos="806"/>
          <w:tab w:val="left" w:pos="1210"/>
          <w:tab w:val="left" w:pos="1656"/>
          <w:tab w:val="left" w:pos="2131"/>
          <w:tab w:val="left" w:pos="2520"/>
        </w:tabs>
        <w:spacing w:after="0" w:line="240" w:lineRule="exact"/>
        <w:jc w:val="center"/>
        <w:outlineLvl w:val="3"/>
        <w:rPr>
          <w:rFonts w:ascii="Arial" w:hAnsi="Arial" w:cs="Arial"/>
          <w:b/>
          <w:bCs/>
          <w:sz w:val="24"/>
          <w:szCs w:val="24"/>
          <w:shd w:val="clear" w:color="auto" w:fill="FFFFFF"/>
          <w:lang w:val="en"/>
        </w:rPr>
      </w:pPr>
      <w:r w:rsidRPr="00771FB6">
        <w:rPr>
          <w:rFonts w:ascii="Arial" w:hAnsi="Arial" w:cs="Arial"/>
          <w:b/>
          <w:bCs/>
          <w:sz w:val="24"/>
          <w:szCs w:val="24"/>
          <w:shd w:val="clear" w:color="auto" w:fill="FFFFFF"/>
          <w:lang w:val="en"/>
        </w:rPr>
        <w:t>Use of Supplier Performance Risk System (SPRS) Assessments</w:t>
      </w:r>
    </w:p>
    <w:p w14:paraId="01AF3318" w14:textId="5B6ED224" w:rsidR="000B4FF0" w:rsidRPr="00771FB6" w:rsidRDefault="000B4FF0" w:rsidP="00D13E3D">
      <w:pPr>
        <w:tabs>
          <w:tab w:val="left" w:pos="360"/>
          <w:tab w:val="left" w:pos="806"/>
          <w:tab w:val="left" w:pos="1210"/>
          <w:tab w:val="left" w:pos="1656"/>
          <w:tab w:val="left" w:pos="2131"/>
          <w:tab w:val="left" w:pos="2520"/>
        </w:tabs>
        <w:spacing w:after="0" w:line="240" w:lineRule="exact"/>
        <w:jc w:val="center"/>
        <w:outlineLvl w:val="3"/>
        <w:rPr>
          <w:rFonts w:ascii="Arial" w:hAnsi="Arial" w:cs="Arial"/>
          <w:b/>
          <w:bCs/>
          <w:sz w:val="24"/>
          <w:szCs w:val="24"/>
        </w:rPr>
      </w:pPr>
      <w:r w:rsidRPr="00771FB6">
        <w:rPr>
          <w:rFonts w:ascii="Arial" w:hAnsi="Arial" w:cs="Arial"/>
          <w:b/>
          <w:bCs/>
          <w:sz w:val="24"/>
          <w:szCs w:val="24"/>
        </w:rPr>
        <w:t xml:space="preserve">PGI </w:t>
      </w:r>
      <w:r w:rsidR="005D248C">
        <w:rPr>
          <w:rFonts w:ascii="Arial" w:hAnsi="Arial" w:cs="Arial"/>
          <w:b/>
          <w:bCs/>
          <w:sz w:val="24"/>
          <w:szCs w:val="24"/>
        </w:rPr>
        <w:t>Text</w:t>
      </w:r>
    </w:p>
    <w:p w14:paraId="3947C782" w14:textId="6450BE8C" w:rsidR="000B4FF0" w:rsidRDefault="000B4FF0">
      <w:pPr>
        <w:tabs>
          <w:tab w:val="left" w:pos="360"/>
          <w:tab w:val="left" w:pos="806"/>
          <w:tab w:val="left" w:pos="1210"/>
          <w:tab w:val="left" w:pos="1656"/>
          <w:tab w:val="left" w:pos="2131"/>
          <w:tab w:val="left" w:pos="2520"/>
        </w:tabs>
        <w:spacing w:after="0" w:line="240" w:lineRule="exact"/>
        <w:outlineLvl w:val="3"/>
        <w:rPr>
          <w:rFonts w:ascii="Arial" w:hAnsi="Arial" w:cs="Arial"/>
          <w:bCs/>
          <w:sz w:val="24"/>
          <w:szCs w:val="24"/>
        </w:rPr>
      </w:pPr>
    </w:p>
    <w:p w14:paraId="08AAEE2F" w14:textId="77777777" w:rsidR="005D248C" w:rsidRPr="00771FB6" w:rsidRDefault="005D248C" w:rsidP="00D13E3D">
      <w:pPr>
        <w:tabs>
          <w:tab w:val="left" w:pos="360"/>
          <w:tab w:val="left" w:pos="806"/>
          <w:tab w:val="left" w:pos="1210"/>
          <w:tab w:val="left" w:pos="1656"/>
          <w:tab w:val="left" w:pos="2131"/>
          <w:tab w:val="left" w:pos="2520"/>
        </w:tabs>
        <w:spacing w:after="0" w:line="240" w:lineRule="exact"/>
        <w:outlineLvl w:val="3"/>
        <w:rPr>
          <w:rFonts w:ascii="Arial" w:hAnsi="Arial" w:cs="Arial"/>
          <w:bCs/>
          <w:sz w:val="24"/>
          <w:szCs w:val="24"/>
        </w:rPr>
      </w:pPr>
    </w:p>
    <w:p w14:paraId="5CCC541C" w14:textId="514FDDB6" w:rsidR="000B4FF0" w:rsidRDefault="006848DB" w:rsidP="00D13E3D">
      <w:pPr>
        <w:pStyle w:val="ListParagraph"/>
        <w:tabs>
          <w:tab w:val="left" w:pos="360"/>
          <w:tab w:val="left" w:pos="806"/>
          <w:tab w:val="left" w:pos="1210"/>
          <w:tab w:val="left" w:pos="1656"/>
          <w:tab w:val="left" w:pos="2131"/>
          <w:tab w:val="left" w:pos="2520"/>
        </w:tabs>
        <w:autoSpaceDE w:val="0"/>
        <w:autoSpaceDN w:val="0"/>
        <w:adjustRightInd w:val="0"/>
        <w:spacing w:after="0" w:line="240" w:lineRule="exact"/>
        <w:ind w:left="0"/>
        <w:rPr>
          <w:rFonts w:ascii="Arial" w:hAnsi="Arial" w:cs="Arial"/>
          <w:b/>
          <w:bCs/>
          <w:sz w:val="24"/>
          <w:szCs w:val="24"/>
        </w:rPr>
      </w:pPr>
      <w:r>
        <w:rPr>
          <w:rFonts w:ascii="Arial" w:hAnsi="Arial" w:cs="Arial"/>
          <w:b/>
          <w:bCs/>
          <w:color w:val="000000"/>
          <w:sz w:val="24"/>
          <w:szCs w:val="24"/>
        </w:rPr>
        <w:t>[</w:t>
      </w:r>
      <w:r w:rsidR="00822DEC">
        <w:rPr>
          <w:rFonts w:ascii="Arial" w:hAnsi="Arial" w:cs="Arial"/>
          <w:b/>
          <w:bCs/>
          <w:color w:val="000000"/>
          <w:sz w:val="24"/>
          <w:szCs w:val="24"/>
        </w:rPr>
        <w:t>PGI 204.</w:t>
      </w:r>
      <w:r w:rsidR="0055660E">
        <w:rPr>
          <w:rFonts w:ascii="Arial" w:hAnsi="Arial" w:cs="Arial"/>
          <w:b/>
          <w:bCs/>
          <w:color w:val="000000"/>
          <w:sz w:val="24"/>
          <w:szCs w:val="24"/>
        </w:rPr>
        <w:t>7</w:t>
      </w:r>
      <w:r w:rsidR="00185615">
        <w:rPr>
          <w:rFonts w:ascii="Arial" w:hAnsi="Arial" w:cs="Arial"/>
          <w:b/>
          <w:bCs/>
          <w:color w:val="000000"/>
          <w:sz w:val="24"/>
          <w:szCs w:val="24"/>
        </w:rPr>
        <w:t>6</w:t>
      </w:r>
      <w:r w:rsidR="00AE2A22">
        <w:rPr>
          <w:rFonts w:ascii="Arial" w:hAnsi="Arial" w:cs="Arial"/>
          <w:b/>
          <w:bCs/>
          <w:color w:val="000000"/>
          <w:sz w:val="24"/>
          <w:szCs w:val="24"/>
        </w:rPr>
        <w:t>—</w:t>
      </w:r>
      <w:r w:rsidR="00822DEC" w:rsidRPr="00822DEC">
        <w:rPr>
          <w:rFonts w:ascii="Arial" w:hAnsi="Arial" w:cs="Arial"/>
          <w:b/>
          <w:bCs/>
          <w:sz w:val="24"/>
          <w:szCs w:val="24"/>
        </w:rPr>
        <w:t>SUPPLIER PERFORMANCE RISK SYSTEM</w:t>
      </w:r>
    </w:p>
    <w:p w14:paraId="25C3A4B1" w14:textId="77777777" w:rsidR="00822DEC" w:rsidRDefault="00822DEC" w:rsidP="00D13E3D">
      <w:pPr>
        <w:pStyle w:val="DFARS"/>
        <w:tabs>
          <w:tab w:val="clear" w:pos="810"/>
          <w:tab w:val="left" w:pos="806"/>
        </w:tabs>
        <w:rPr>
          <w:rFonts w:ascii="Arial" w:hAnsi="Arial" w:cs="Arial"/>
          <w:b/>
          <w:smallCaps/>
          <w:spacing w:val="0"/>
          <w:szCs w:val="24"/>
        </w:rPr>
      </w:pPr>
    </w:p>
    <w:p w14:paraId="5D91F111" w14:textId="21EB3D43" w:rsidR="000B4FF0" w:rsidRPr="00771FB6" w:rsidRDefault="000B4FF0" w:rsidP="00D13E3D">
      <w:pPr>
        <w:pStyle w:val="DFARS"/>
        <w:tabs>
          <w:tab w:val="clear" w:pos="810"/>
          <w:tab w:val="left" w:pos="806"/>
        </w:tabs>
        <w:rPr>
          <w:rFonts w:ascii="Arial" w:hAnsi="Arial" w:cs="Arial"/>
          <w:b/>
          <w:smallCaps/>
          <w:spacing w:val="0"/>
          <w:szCs w:val="24"/>
        </w:rPr>
      </w:pPr>
      <w:r w:rsidRPr="00771FB6">
        <w:rPr>
          <w:rFonts w:ascii="Arial" w:hAnsi="Arial" w:cs="Arial"/>
          <w:b/>
          <w:smallCaps/>
          <w:spacing w:val="0"/>
          <w:szCs w:val="24"/>
        </w:rPr>
        <w:t>PGI 2</w:t>
      </w:r>
      <w:r w:rsidR="00822DEC">
        <w:rPr>
          <w:rFonts w:ascii="Arial" w:hAnsi="Arial" w:cs="Arial"/>
          <w:b/>
          <w:smallCaps/>
          <w:spacing w:val="0"/>
          <w:szCs w:val="24"/>
        </w:rPr>
        <w:t>04.</w:t>
      </w:r>
      <w:r w:rsidR="0055660E">
        <w:rPr>
          <w:rFonts w:ascii="Arial" w:hAnsi="Arial" w:cs="Arial"/>
          <w:b/>
          <w:smallCaps/>
          <w:spacing w:val="0"/>
          <w:szCs w:val="24"/>
        </w:rPr>
        <w:t>7</w:t>
      </w:r>
      <w:r w:rsidR="00185615">
        <w:rPr>
          <w:rFonts w:ascii="Arial" w:hAnsi="Arial" w:cs="Arial"/>
          <w:b/>
          <w:smallCaps/>
          <w:spacing w:val="0"/>
          <w:szCs w:val="24"/>
        </w:rPr>
        <w:t>6</w:t>
      </w:r>
      <w:r w:rsidR="0055660E">
        <w:rPr>
          <w:rFonts w:ascii="Arial" w:hAnsi="Arial" w:cs="Arial"/>
          <w:b/>
          <w:smallCaps/>
          <w:spacing w:val="0"/>
          <w:szCs w:val="24"/>
        </w:rPr>
        <w:t>03</w:t>
      </w:r>
      <w:r w:rsidR="00AE2A22">
        <w:rPr>
          <w:rFonts w:ascii="Arial" w:hAnsi="Arial" w:cs="Arial"/>
          <w:b/>
          <w:spacing w:val="0"/>
          <w:szCs w:val="24"/>
        </w:rPr>
        <w:t xml:space="preserve">  </w:t>
      </w:r>
      <w:r w:rsidR="00D72469">
        <w:rPr>
          <w:rFonts w:ascii="Arial" w:hAnsi="Arial" w:cs="Arial"/>
          <w:b/>
          <w:spacing w:val="0"/>
          <w:szCs w:val="24"/>
        </w:rPr>
        <w:t>Procedures.</w:t>
      </w:r>
    </w:p>
    <w:p w14:paraId="133647FE" w14:textId="52B9D642" w:rsidR="000B4FF0" w:rsidRPr="000B4FF0" w:rsidRDefault="00C20594" w:rsidP="00D13E3D">
      <w:pPr>
        <w:pStyle w:val="Default"/>
        <w:tabs>
          <w:tab w:val="left" w:pos="360"/>
          <w:tab w:val="left" w:pos="806"/>
          <w:tab w:val="left" w:pos="1210"/>
          <w:tab w:val="left" w:pos="1656"/>
          <w:tab w:val="left" w:pos="2131"/>
          <w:tab w:val="left" w:pos="2520"/>
        </w:tabs>
        <w:spacing w:line="240" w:lineRule="exact"/>
        <w:rPr>
          <w:b/>
          <w:color w:val="auto"/>
          <w:szCs w:val="23"/>
        </w:rPr>
      </w:pPr>
      <w:r>
        <w:rPr>
          <w:b/>
          <w:color w:val="auto"/>
          <w:szCs w:val="23"/>
        </w:rPr>
        <w:t>The Supplier Performance Risk System (</w:t>
      </w:r>
      <w:r w:rsidR="000B4FF0" w:rsidRPr="000B4FF0">
        <w:rPr>
          <w:b/>
          <w:color w:val="auto"/>
          <w:szCs w:val="23"/>
        </w:rPr>
        <w:t>SPRS</w:t>
      </w:r>
      <w:r>
        <w:rPr>
          <w:b/>
          <w:color w:val="auto"/>
          <w:szCs w:val="23"/>
        </w:rPr>
        <w:t>)</w:t>
      </w:r>
      <w:r w:rsidR="000B4FF0" w:rsidRPr="000B4FF0">
        <w:rPr>
          <w:b/>
          <w:color w:val="auto"/>
          <w:szCs w:val="23"/>
        </w:rPr>
        <w:t xml:space="preserve"> provides item</w:t>
      </w:r>
      <w:r w:rsidR="00D06D38">
        <w:rPr>
          <w:b/>
          <w:color w:val="auto"/>
          <w:szCs w:val="23"/>
        </w:rPr>
        <w:t xml:space="preserve"> risk</w:t>
      </w:r>
      <w:r w:rsidR="00297AA0">
        <w:rPr>
          <w:b/>
          <w:color w:val="auto"/>
          <w:szCs w:val="23"/>
        </w:rPr>
        <w:t>, price</w:t>
      </w:r>
      <w:r w:rsidR="00D06D38">
        <w:rPr>
          <w:b/>
          <w:color w:val="auto"/>
          <w:szCs w:val="23"/>
        </w:rPr>
        <w:t xml:space="preserve"> risk</w:t>
      </w:r>
      <w:r>
        <w:rPr>
          <w:b/>
          <w:color w:val="auto"/>
          <w:szCs w:val="23"/>
        </w:rPr>
        <w:t>,</w:t>
      </w:r>
      <w:r w:rsidR="00297AA0">
        <w:rPr>
          <w:b/>
          <w:color w:val="auto"/>
          <w:szCs w:val="23"/>
        </w:rPr>
        <w:t xml:space="preserve"> and supplier</w:t>
      </w:r>
      <w:r w:rsidR="000B4FF0" w:rsidRPr="000B4FF0">
        <w:rPr>
          <w:b/>
          <w:color w:val="auto"/>
          <w:szCs w:val="23"/>
        </w:rPr>
        <w:t xml:space="preserve"> risk</w:t>
      </w:r>
      <w:r w:rsidR="00297AA0">
        <w:rPr>
          <w:b/>
          <w:color w:val="auto"/>
          <w:szCs w:val="23"/>
        </w:rPr>
        <w:t xml:space="preserve"> assessment on end products and </w:t>
      </w:r>
      <w:r w:rsidR="00E14C45">
        <w:rPr>
          <w:b/>
          <w:color w:val="auto"/>
          <w:szCs w:val="23"/>
        </w:rPr>
        <w:t xml:space="preserve">price risk and supplier risk assessment on </w:t>
      </w:r>
      <w:r w:rsidR="00297AA0">
        <w:rPr>
          <w:b/>
          <w:color w:val="auto"/>
          <w:szCs w:val="23"/>
        </w:rPr>
        <w:t xml:space="preserve">services.  SPRS provides </w:t>
      </w:r>
      <w:r w:rsidR="00497F63">
        <w:rPr>
          <w:b/>
          <w:color w:val="auto"/>
          <w:szCs w:val="23"/>
        </w:rPr>
        <w:t xml:space="preserve">item and price risk for end </w:t>
      </w:r>
      <w:r w:rsidR="000B4FF0" w:rsidRPr="000B4FF0">
        <w:rPr>
          <w:b/>
          <w:color w:val="auto"/>
          <w:szCs w:val="23"/>
        </w:rPr>
        <w:t xml:space="preserve">products </w:t>
      </w:r>
      <w:r w:rsidR="00497F63">
        <w:rPr>
          <w:b/>
          <w:color w:val="auto"/>
          <w:szCs w:val="23"/>
        </w:rPr>
        <w:t>using the material identifier</w:t>
      </w:r>
      <w:r>
        <w:rPr>
          <w:b/>
          <w:color w:val="auto"/>
          <w:szCs w:val="23"/>
        </w:rPr>
        <w:t>s</w:t>
      </w:r>
      <w:r w:rsidR="00497F63">
        <w:rPr>
          <w:b/>
          <w:color w:val="auto"/>
          <w:szCs w:val="23"/>
        </w:rPr>
        <w:t xml:space="preserve"> </w:t>
      </w:r>
      <w:r w:rsidR="00C16CAA">
        <w:rPr>
          <w:b/>
          <w:color w:val="auto"/>
          <w:szCs w:val="23"/>
        </w:rPr>
        <w:t>listed</w:t>
      </w:r>
      <w:r>
        <w:rPr>
          <w:b/>
          <w:color w:val="auto"/>
          <w:szCs w:val="23"/>
        </w:rPr>
        <w:t xml:space="preserve"> in paragraphs (a)(1)(</w:t>
      </w:r>
      <w:proofErr w:type="spellStart"/>
      <w:r>
        <w:rPr>
          <w:b/>
          <w:color w:val="auto"/>
          <w:szCs w:val="23"/>
        </w:rPr>
        <w:t>i</w:t>
      </w:r>
      <w:proofErr w:type="spellEnd"/>
      <w:r>
        <w:rPr>
          <w:b/>
          <w:color w:val="auto"/>
          <w:szCs w:val="23"/>
        </w:rPr>
        <w:t>) through (v)</w:t>
      </w:r>
      <w:r w:rsidR="00C16CAA">
        <w:rPr>
          <w:b/>
          <w:color w:val="auto"/>
          <w:szCs w:val="23"/>
        </w:rPr>
        <w:t>.</w:t>
      </w:r>
      <w:r w:rsidR="00297AA0" w:rsidRPr="00D13E3D">
        <w:rPr>
          <w:b/>
          <w:color w:val="auto"/>
          <w:szCs w:val="23"/>
        </w:rPr>
        <w:t xml:space="preserve">  </w:t>
      </w:r>
      <w:r w:rsidR="00497F63">
        <w:rPr>
          <w:b/>
          <w:color w:val="auto"/>
          <w:szCs w:val="23"/>
        </w:rPr>
        <w:t>SPRS also provide</w:t>
      </w:r>
      <w:r>
        <w:rPr>
          <w:b/>
          <w:color w:val="auto"/>
          <w:szCs w:val="23"/>
        </w:rPr>
        <w:t>s</w:t>
      </w:r>
      <w:r w:rsidR="00497F63">
        <w:rPr>
          <w:b/>
          <w:color w:val="auto"/>
          <w:szCs w:val="23"/>
        </w:rPr>
        <w:t xml:space="preserve"> a </w:t>
      </w:r>
      <w:r w:rsidR="000B4FF0" w:rsidRPr="000B4FF0">
        <w:rPr>
          <w:b/>
          <w:color w:val="auto"/>
          <w:szCs w:val="23"/>
        </w:rPr>
        <w:t xml:space="preserve">supplier risk score for the </w:t>
      </w:r>
      <w:r w:rsidR="00D06D38">
        <w:rPr>
          <w:b/>
          <w:color w:val="auto"/>
          <w:szCs w:val="23"/>
        </w:rPr>
        <w:t>contractor that provided</w:t>
      </w:r>
      <w:r w:rsidR="000B4FF0" w:rsidRPr="000B4FF0">
        <w:rPr>
          <w:b/>
          <w:color w:val="auto"/>
          <w:szCs w:val="23"/>
        </w:rPr>
        <w:t xml:space="preserve"> the product</w:t>
      </w:r>
      <w:r w:rsidR="00497F63">
        <w:rPr>
          <w:b/>
          <w:color w:val="auto"/>
          <w:szCs w:val="23"/>
        </w:rPr>
        <w:t xml:space="preserve"> or services</w:t>
      </w:r>
      <w:r w:rsidR="000B4FF0" w:rsidRPr="000B4FF0">
        <w:rPr>
          <w:b/>
          <w:color w:val="auto"/>
          <w:szCs w:val="23"/>
        </w:rPr>
        <w:t xml:space="preserve">.  </w:t>
      </w:r>
      <w:r>
        <w:rPr>
          <w:b/>
          <w:color w:val="auto"/>
          <w:szCs w:val="23"/>
        </w:rPr>
        <w:t xml:space="preserve">The contracting officer may consider </w:t>
      </w:r>
      <w:r w:rsidR="00D06D38">
        <w:rPr>
          <w:b/>
          <w:color w:val="auto"/>
          <w:szCs w:val="23"/>
        </w:rPr>
        <w:t xml:space="preserve">item </w:t>
      </w:r>
      <w:r>
        <w:rPr>
          <w:b/>
        </w:rPr>
        <w:t>r</w:t>
      </w:r>
      <w:r w:rsidR="00C829EE">
        <w:rPr>
          <w:b/>
        </w:rPr>
        <w:t>isk</w:t>
      </w:r>
      <w:r w:rsidR="00D06D38">
        <w:rPr>
          <w:b/>
        </w:rPr>
        <w:t>, price risk, and supplier risk</w:t>
      </w:r>
      <w:r w:rsidR="00C829EE">
        <w:rPr>
          <w:b/>
        </w:rPr>
        <w:t xml:space="preserve"> assessments </w:t>
      </w:r>
      <w:r w:rsidR="00C829EE" w:rsidRPr="000B4FF0">
        <w:rPr>
          <w:b/>
          <w:color w:val="auto"/>
        </w:rPr>
        <w:t xml:space="preserve">to determine the performance risk </w:t>
      </w:r>
      <w:r w:rsidR="00C829EE">
        <w:rPr>
          <w:b/>
          <w:color w:val="auto"/>
        </w:rPr>
        <w:t>of</w:t>
      </w:r>
      <w:r w:rsidR="00C829EE" w:rsidRPr="000B4FF0">
        <w:rPr>
          <w:b/>
          <w:color w:val="auto"/>
        </w:rPr>
        <w:t xml:space="preserve"> the </w:t>
      </w:r>
      <w:r w:rsidR="00D06D38">
        <w:rPr>
          <w:b/>
          <w:color w:val="auto"/>
        </w:rPr>
        <w:t xml:space="preserve">offeror </w:t>
      </w:r>
      <w:r w:rsidR="00C829EE" w:rsidRPr="000B4FF0">
        <w:rPr>
          <w:b/>
          <w:color w:val="auto"/>
        </w:rPr>
        <w:t xml:space="preserve">or product and to assess the risk of ongoing </w:t>
      </w:r>
      <w:r w:rsidR="00D06D38">
        <w:rPr>
          <w:b/>
          <w:color w:val="auto"/>
        </w:rPr>
        <w:t xml:space="preserve">contractor </w:t>
      </w:r>
      <w:r w:rsidR="00C829EE" w:rsidRPr="000B4FF0">
        <w:rPr>
          <w:b/>
          <w:color w:val="auto"/>
        </w:rPr>
        <w:t>performance</w:t>
      </w:r>
      <w:r w:rsidR="00D72469">
        <w:rPr>
          <w:b/>
          <w:color w:val="auto"/>
        </w:rPr>
        <w:t>.</w:t>
      </w:r>
    </w:p>
    <w:p w14:paraId="24749DF6" w14:textId="77777777" w:rsidR="000B4FF0" w:rsidRPr="000B4FF0" w:rsidRDefault="000B4FF0" w:rsidP="00D13E3D">
      <w:pPr>
        <w:pStyle w:val="Default"/>
        <w:tabs>
          <w:tab w:val="left" w:pos="360"/>
          <w:tab w:val="left" w:pos="806"/>
          <w:tab w:val="left" w:pos="1210"/>
          <w:tab w:val="left" w:pos="1656"/>
          <w:tab w:val="left" w:pos="2131"/>
          <w:tab w:val="left" w:pos="2520"/>
        </w:tabs>
        <w:spacing w:line="240" w:lineRule="exact"/>
        <w:rPr>
          <w:b/>
          <w:color w:val="auto"/>
          <w:szCs w:val="23"/>
        </w:rPr>
      </w:pPr>
    </w:p>
    <w:p w14:paraId="28DCB32C" w14:textId="536EF9B4" w:rsidR="00D72469" w:rsidRDefault="006848DB" w:rsidP="00D13E3D">
      <w:pPr>
        <w:pStyle w:val="Default"/>
        <w:tabs>
          <w:tab w:val="left" w:pos="360"/>
          <w:tab w:val="left" w:pos="806"/>
          <w:tab w:val="left" w:pos="1210"/>
          <w:tab w:val="left" w:pos="1656"/>
          <w:tab w:val="left" w:pos="2131"/>
          <w:tab w:val="left" w:pos="2520"/>
        </w:tabs>
        <w:spacing w:line="240" w:lineRule="exact"/>
        <w:rPr>
          <w:b/>
          <w:color w:val="auto"/>
          <w:szCs w:val="23"/>
        </w:rPr>
      </w:pPr>
      <w:r>
        <w:rPr>
          <w:b/>
          <w:color w:val="auto"/>
          <w:szCs w:val="23"/>
        </w:rPr>
        <w:tab/>
      </w:r>
      <w:r w:rsidR="0055660E">
        <w:rPr>
          <w:b/>
          <w:color w:val="auto"/>
          <w:szCs w:val="23"/>
        </w:rPr>
        <w:t xml:space="preserve">(a)  </w:t>
      </w:r>
      <w:r w:rsidR="0055660E" w:rsidRPr="00D7516F">
        <w:rPr>
          <w:b/>
          <w:i/>
          <w:iCs/>
          <w:color w:val="auto"/>
          <w:szCs w:val="23"/>
        </w:rPr>
        <w:t>I</w:t>
      </w:r>
      <w:r w:rsidR="00FA0119" w:rsidRPr="00D7516F">
        <w:rPr>
          <w:b/>
          <w:i/>
          <w:iCs/>
          <w:color w:val="auto"/>
          <w:szCs w:val="23"/>
        </w:rPr>
        <w:t>tem r</w:t>
      </w:r>
      <w:r w:rsidR="00297AA0" w:rsidRPr="00D7516F">
        <w:rPr>
          <w:b/>
          <w:i/>
          <w:iCs/>
          <w:color w:val="auto"/>
          <w:szCs w:val="23"/>
        </w:rPr>
        <w:t>isk</w:t>
      </w:r>
      <w:r w:rsidR="0055660E" w:rsidRPr="00D7516F">
        <w:rPr>
          <w:b/>
          <w:i/>
          <w:iCs/>
          <w:color w:val="auto"/>
          <w:szCs w:val="23"/>
        </w:rPr>
        <w:t>.</w:t>
      </w:r>
    </w:p>
    <w:p w14:paraId="35D2596E" w14:textId="77777777" w:rsidR="00D72469" w:rsidRDefault="00D72469" w:rsidP="00D13E3D">
      <w:pPr>
        <w:pStyle w:val="Default"/>
        <w:tabs>
          <w:tab w:val="left" w:pos="360"/>
          <w:tab w:val="left" w:pos="806"/>
          <w:tab w:val="left" w:pos="1210"/>
          <w:tab w:val="left" w:pos="1656"/>
          <w:tab w:val="left" w:pos="2131"/>
          <w:tab w:val="left" w:pos="2520"/>
        </w:tabs>
        <w:spacing w:line="240" w:lineRule="exact"/>
        <w:rPr>
          <w:b/>
          <w:color w:val="auto"/>
          <w:szCs w:val="23"/>
        </w:rPr>
      </w:pPr>
    </w:p>
    <w:p w14:paraId="61BD9E83" w14:textId="1D2C5CB2" w:rsidR="000B4FF0" w:rsidRDefault="00D72469" w:rsidP="00D13E3D">
      <w:pPr>
        <w:pStyle w:val="Default"/>
        <w:tabs>
          <w:tab w:val="left" w:pos="360"/>
          <w:tab w:val="left" w:pos="806"/>
          <w:tab w:val="left" w:pos="1210"/>
          <w:tab w:val="left" w:pos="1656"/>
          <w:tab w:val="left" w:pos="2131"/>
          <w:tab w:val="left" w:pos="2520"/>
        </w:tabs>
        <w:spacing w:line="240" w:lineRule="exact"/>
        <w:rPr>
          <w:b/>
          <w:color w:val="auto"/>
          <w:szCs w:val="23"/>
        </w:rPr>
      </w:pPr>
      <w:r>
        <w:rPr>
          <w:b/>
          <w:color w:val="auto"/>
          <w:szCs w:val="23"/>
        </w:rPr>
        <w:tab/>
      </w:r>
      <w:r>
        <w:rPr>
          <w:b/>
          <w:color w:val="auto"/>
          <w:szCs w:val="23"/>
        </w:rPr>
        <w:tab/>
      </w:r>
      <w:r w:rsidR="0055660E">
        <w:rPr>
          <w:b/>
          <w:color w:val="auto"/>
          <w:szCs w:val="23"/>
        </w:rPr>
        <w:t xml:space="preserve">(1)  </w:t>
      </w:r>
      <w:r w:rsidR="00297AA0" w:rsidRPr="000B4FF0">
        <w:rPr>
          <w:b/>
          <w:color w:val="auto"/>
          <w:szCs w:val="23"/>
        </w:rPr>
        <w:t xml:space="preserve">SPRS provides the </w:t>
      </w:r>
      <w:r w:rsidR="00297AA0">
        <w:rPr>
          <w:b/>
          <w:color w:val="auto"/>
          <w:szCs w:val="23"/>
        </w:rPr>
        <w:t>contracting officer</w:t>
      </w:r>
      <w:r w:rsidR="00297AA0" w:rsidRPr="000B4FF0">
        <w:rPr>
          <w:b/>
          <w:color w:val="auto"/>
          <w:szCs w:val="23"/>
        </w:rPr>
        <w:t xml:space="preserve"> warnings and mitigation strategies for </w:t>
      </w:r>
      <w:r w:rsidR="00297AA0">
        <w:rPr>
          <w:b/>
          <w:color w:val="auto"/>
          <w:szCs w:val="23"/>
        </w:rPr>
        <w:t>end products</w:t>
      </w:r>
      <w:r w:rsidR="00297AA0" w:rsidRPr="000B4FF0">
        <w:rPr>
          <w:b/>
          <w:color w:val="auto"/>
          <w:szCs w:val="23"/>
        </w:rPr>
        <w:t xml:space="preserve"> identified by </w:t>
      </w:r>
      <w:r w:rsidR="006B23E9">
        <w:rPr>
          <w:b/>
          <w:color w:val="auto"/>
          <w:szCs w:val="23"/>
        </w:rPr>
        <w:t xml:space="preserve">military departments </w:t>
      </w:r>
      <w:r w:rsidR="005B74E6">
        <w:rPr>
          <w:b/>
          <w:color w:val="auto"/>
          <w:szCs w:val="23"/>
        </w:rPr>
        <w:t xml:space="preserve">or </w:t>
      </w:r>
      <w:r w:rsidR="006B23E9">
        <w:rPr>
          <w:b/>
          <w:color w:val="auto"/>
          <w:szCs w:val="23"/>
        </w:rPr>
        <w:t xml:space="preserve">defense </w:t>
      </w:r>
      <w:r w:rsidR="00297AA0" w:rsidRPr="000B4FF0">
        <w:rPr>
          <w:b/>
          <w:color w:val="auto"/>
          <w:szCs w:val="23"/>
        </w:rPr>
        <w:t xml:space="preserve">agencies as </w:t>
      </w:r>
      <w:r w:rsidR="00FA0119">
        <w:rPr>
          <w:b/>
          <w:color w:val="auto"/>
          <w:szCs w:val="23"/>
        </w:rPr>
        <w:t>high risk</w:t>
      </w:r>
      <w:r w:rsidR="00297AA0" w:rsidRPr="000B4FF0">
        <w:rPr>
          <w:b/>
          <w:color w:val="auto"/>
          <w:szCs w:val="23"/>
        </w:rPr>
        <w:t xml:space="preserve"> (due to </w:t>
      </w:r>
      <w:r w:rsidR="0055660E">
        <w:rPr>
          <w:b/>
          <w:color w:val="auto"/>
          <w:szCs w:val="23"/>
        </w:rPr>
        <w:t>diminishing</w:t>
      </w:r>
      <w:r w:rsidR="0055660E" w:rsidRPr="00C16CAA">
        <w:rPr>
          <w:b/>
          <w:color w:val="auto"/>
          <w:szCs w:val="23"/>
        </w:rPr>
        <w:t xml:space="preserve"> </w:t>
      </w:r>
      <w:r w:rsidR="0055660E">
        <w:rPr>
          <w:b/>
          <w:color w:val="auto"/>
          <w:szCs w:val="23"/>
        </w:rPr>
        <w:t>m</w:t>
      </w:r>
      <w:r w:rsidR="0055660E" w:rsidRPr="00C16CAA">
        <w:rPr>
          <w:b/>
          <w:color w:val="auto"/>
          <w:szCs w:val="23"/>
        </w:rPr>
        <w:t xml:space="preserve">anufacturing </w:t>
      </w:r>
      <w:r w:rsidR="0055660E">
        <w:rPr>
          <w:b/>
          <w:color w:val="auto"/>
          <w:szCs w:val="23"/>
        </w:rPr>
        <w:t>s</w:t>
      </w:r>
      <w:r w:rsidR="0055660E" w:rsidRPr="00C16CAA">
        <w:rPr>
          <w:b/>
          <w:color w:val="auto"/>
          <w:szCs w:val="23"/>
        </w:rPr>
        <w:t xml:space="preserve">ources </w:t>
      </w:r>
      <w:r w:rsidR="00C16CAA" w:rsidRPr="00C16CAA">
        <w:rPr>
          <w:b/>
          <w:color w:val="auto"/>
          <w:szCs w:val="23"/>
        </w:rPr>
        <w:t xml:space="preserve">and </w:t>
      </w:r>
      <w:r w:rsidR="0055660E">
        <w:rPr>
          <w:b/>
          <w:color w:val="auto"/>
          <w:szCs w:val="23"/>
        </w:rPr>
        <w:t>m</w:t>
      </w:r>
      <w:r w:rsidR="0055660E" w:rsidRPr="00C16CAA">
        <w:rPr>
          <w:b/>
          <w:color w:val="auto"/>
          <w:szCs w:val="23"/>
        </w:rPr>
        <w:t xml:space="preserve">aterial </w:t>
      </w:r>
      <w:r w:rsidR="0055660E">
        <w:rPr>
          <w:b/>
          <w:color w:val="auto"/>
          <w:szCs w:val="23"/>
        </w:rPr>
        <w:t>s</w:t>
      </w:r>
      <w:r w:rsidR="0055660E" w:rsidRPr="00C16CAA">
        <w:rPr>
          <w:b/>
          <w:color w:val="auto"/>
          <w:szCs w:val="23"/>
        </w:rPr>
        <w:t>hortages</w:t>
      </w:r>
      <w:r w:rsidR="00FA0119">
        <w:rPr>
          <w:b/>
          <w:color w:val="auto"/>
          <w:szCs w:val="23"/>
        </w:rPr>
        <w:t>,</w:t>
      </w:r>
      <w:r w:rsidR="00297AA0" w:rsidRPr="000B4FF0">
        <w:rPr>
          <w:b/>
          <w:color w:val="auto"/>
          <w:szCs w:val="23"/>
        </w:rPr>
        <w:t xml:space="preserve"> history of counterfeiting, etc</w:t>
      </w:r>
      <w:r w:rsidR="00C20594">
        <w:rPr>
          <w:b/>
          <w:color w:val="auto"/>
          <w:szCs w:val="23"/>
        </w:rPr>
        <w:t>.</w:t>
      </w:r>
      <w:r w:rsidR="00297AA0" w:rsidRPr="000B4FF0">
        <w:rPr>
          <w:b/>
          <w:color w:val="auto"/>
          <w:szCs w:val="23"/>
        </w:rPr>
        <w:t>)</w:t>
      </w:r>
      <w:r w:rsidR="00297AA0">
        <w:rPr>
          <w:b/>
          <w:color w:val="auto"/>
          <w:szCs w:val="23"/>
        </w:rPr>
        <w:t>.  End product</w:t>
      </w:r>
      <w:r w:rsidR="00C20594">
        <w:rPr>
          <w:b/>
          <w:color w:val="auto"/>
          <w:szCs w:val="23"/>
        </w:rPr>
        <w:t>s</w:t>
      </w:r>
      <w:r w:rsidR="00297AA0">
        <w:rPr>
          <w:b/>
          <w:color w:val="auto"/>
          <w:szCs w:val="23"/>
        </w:rPr>
        <w:t xml:space="preserve"> are identified by </w:t>
      </w:r>
      <w:r w:rsidR="00FA0119">
        <w:rPr>
          <w:b/>
          <w:color w:val="auto"/>
          <w:szCs w:val="23"/>
        </w:rPr>
        <w:t>one or more of the following material identifiers:</w:t>
      </w:r>
    </w:p>
    <w:p w14:paraId="4276E15B" w14:textId="77777777" w:rsidR="00C16CAA" w:rsidRDefault="00C16CAA" w:rsidP="00D13E3D">
      <w:pPr>
        <w:pStyle w:val="Default"/>
        <w:tabs>
          <w:tab w:val="left" w:pos="360"/>
          <w:tab w:val="left" w:pos="806"/>
          <w:tab w:val="left" w:pos="1210"/>
          <w:tab w:val="left" w:pos="1656"/>
          <w:tab w:val="left" w:pos="2131"/>
          <w:tab w:val="left" w:pos="2520"/>
        </w:tabs>
        <w:spacing w:line="240" w:lineRule="exact"/>
        <w:rPr>
          <w:b/>
          <w:color w:val="auto"/>
          <w:szCs w:val="23"/>
        </w:rPr>
      </w:pPr>
    </w:p>
    <w:p w14:paraId="65B02AC3" w14:textId="49ECEA43" w:rsidR="00C16CAA" w:rsidRDefault="00C16CAA">
      <w:pPr>
        <w:pStyle w:val="Default"/>
        <w:tabs>
          <w:tab w:val="left" w:pos="360"/>
          <w:tab w:val="left" w:pos="806"/>
          <w:tab w:val="left" w:pos="1210"/>
          <w:tab w:val="left" w:pos="1656"/>
          <w:tab w:val="left" w:pos="2131"/>
          <w:tab w:val="left" w:pos="2520"/>
        </w:tabs>
        <w:spacing w:line="240" w:lineRule="exact"/>
        <w:rPr>
          <w:b/>
          <w:color w:val="auto"/>
          <w:szCs w:val="23"/>
        </w:rPr>
      </w:pPr>
      <w:r>
        <w:rPr>
          <w:b/>
          <w:color w:val="auto"/>
          <w:szCs w:val="23"/>
        </w:rPr>
        <w:tab/>
      </w:r>
      <w:r w:rsidR="006848DB">
        <w:rPr>
          <w:b/>
          <w:color w:val="auto"/>
          <w:szCs w:val="23"/>
        </w:rPr>
        <w:tab/>
      </w:r>
      <w:r w:rsidR="006848DB">
        <w:rPr>
          <w:b/>
          <w:color w:val="auto"/>
          <w:szCs w:val="23"/>
        </w:rPr>
        <w:tab/>
      </w:r>
      <w:r w:rsidR="0055660E">
        <w:rPr>
          <w:b/>
          <w:color w:val="auto"/>
          <w:szCs w:val="23"/>
        </w:rPr>
        <w:t>(</w:t>
      </w:r>
      <w:proofErr w:type="spellStart"/>
      <w:r w:rsidR="0055660E">
        <w:rPr>
          <w:b/>
          <w:color w:val="auto"/>
          <w:szCs w:val="23"/>
        </w:rPr>
        <w:t>i</w:t>
      </w:r>
      <w:proofErr w:type="spellEnd"/>
      <w:r>
        <w:rPr>
          <w:b/>
          <w:color w:val="auto"/>
          <w:szCs w:val="23"/>
        </w:rPr>
        <w:t xml:space="preserve">) </w:t>
      </w:r>
      <w:r w:rsidR="001D701C">
        <w:rPr>
          <w:b/>
          <w:color w:val="auto"/>
          <w:szCs w:val="23"/>
        </w:rPr>
        <w:t xml:space="preserve"> </w:t>
      </w:r>
      <w:r>
        <w:rPr>
          <w:b/>
          <w:color w:val="auto"/>
          <w:szCs w:val="23"/>
        </w:rPr>
        <w:t>National Stock Number (NSN)</w:t>
      </w:r>
      <w:r w:rsidR="00840A64">
        <w:rPr>
          <w:b/>
          <w:color w:val="auto"/>
          <w:szCs w:val="23"/>
        </w:rPr>
        <w:t>.</w:t>
      </w:r>
    </w:p>
    <w:p w14:paraId="1A54DC6D" w14:textId="77777777" w:rsidR="00840A64" w:rsidRDefault="00840A64" w:rsidP="00D13E3D">
      <w:pPr>
        <w:pStyle w:val="Default"/>
        <w:tabs>
          <w:tab w:val="left" w:pos="360"/>
          <w:tab w:val="left" w:pos="806"/>
          <w:tab w:val="left" w:pos="1210"/>
          <w:tab w:val="left" w:pos="1656"/>
          <w:tab w:val="left" w:pos="2131"/>
          <w:tab w:val="left" w:pos="2520"/>
        </w:tabs>
        <w:spacing w:line="240" w:lineRule="exact"/>
        <w:rPr>
          <w:b/>
          <w:color w:val="auto"/>
          <w:szCs w:val="23"/>
        </w:rPr>
      </w:pPr>
    </w:p>
    <w:p w14:paraId="3265585A" w14:textId="20E3DEC3" w:rsidR="00C16CAA" w:rsidRDefault="00C16CAA">
      <w:pPr>
        <w:pStyle w:val="Default"/>
        <w:tabs>
          <w:tab w:val="left" w:pos="360"/>
          <w:tab w:val="left" w:pos="806"/>
          <w:tab w:val="left" w:pos="1210"/>
          <w:tab w:val="left" w:pos="1656"/>
          <w:tab w:val="left" w:pos="2131"/>
          <w:tab w:val="left" w:pos="2520"/>
        </w:tabs>
        <w:spacing w:line="240" w:lineRule="exact"/>
        <w:rPr>
          <w:b/>
          <w:color w:val="auto"/>
          <w:szCs w:val="23"/>
        </w:rPr>
      </w:pPr>
      <w:r>
        <w:rPr>
          <w:b/>
          <w:color w:val="auto"/>
          <w:szCs w:val="23"/>
        </w:rPr>
        <w:tab/>
      </w:r>
      <w:r w:rsidR="006848DB">
        <w:rPr>
          <w:b/>
          <w:color w:val="auto"/>
          <w:szCs w:val="23"/>
        </w:rPr>
        <w:tab/>
      </w:r>
      <w:r w:rsidR="006848DB">
        <w:rPr>
          <w:b/>
          <w:color w:val="auto"/>
          <w:szCs w:val="23"/>
        </w:rPr>
        <w:tab/>
        <w:t>(ii</w:t>
      </w:r>
      <w:r>
        <w:rPr>
          <w:b/>
          <w:color w:val="auto"/>
          <w:szCs w:val="23"/>
        </w:rPr>
        <w:t>)</w:t>
      </w:r>
      <w:r w:rsidR="001D701C">
        <w:rPr>
          <w:b/>
          <w:color w:val="auto"/>
          <w:szCs w:val="23"/>
        </w:rPr>
        <w:t xml:space="preserve"> </w:t>
      </w:r>
      <w:r>
        <w:rPr>
          <w:b/>
          <w:color w:val="auto"/>
          <w:szCs w:val="23"/>
        </w:rPr>
        <w:t xml:space="preserve"> Internet Blog Serial Number (IBSN)</w:t>
      </w:r>
      <w:r w:rsidR="00840A64">
        <w:rPr>
          <w:b/>
          <w:color w:val="auto"/>
          <w:szCs w:val="23"/>
        </w:rPr>
        <w:t>.</w:t>
      </w:r>
    </w:p>
    <w:p w14:paraId="7E0BB9EC" w14:textId="77777777" w:rsidR="00840A64" w:rsidRDefault="00840A64" w:rsidP="00D13E3D">
      <w:pPr>
        <w:pStyle w:val="Default"/>
        <w:tabs>
          <w:tab w:val="left" w:pos="360"/>
          <w:tab w:val="left" w:pos="806"/>
          <w:tab w:val="left" w:pos="1210"/>
          <w:tab w:val="left" w:pos="1656"/>
          <w:tab w:val="left" w:pos="2131"/>
          <w:tab w:val="left" w:pos="2520"/>
        </w:tabs>
        <w:spacing w:line="240" w:lineRule="exact"/>
        <w:rPr>
          <w:b/>
          <w:color w:val="auto"/>
          <w:szCs w:val="23"/>
        </w:rPr>
      </w:pPr>
    </w:p>
    <w:p w14:paraId="74FB428B" w14:textId="66CB49D0" w:rsidR="00C16CAA" w:rsidRDefault="00C16CAA">
      <w:pPr>
        <w:pStyle w:val="Default"/>
        <w:tabs>
          <w:tab w:val="left" w:pos="360"/>
          <w:tab w:val="left" w:pos="806"/>
          <w:tab w:val="left" w:pos="1210"/>
          <w:tab w:val="left" w:pos="1656"/>
          <w:tab w:val="left" w:pos="2131"/>
          <w:tab w:val="left" w:pos="2520"/>
        </w:tabs>
        <w:spacing w:line="240" w:lineRule="exact"/>
        <w:rPr>
          <w:b/>
          <w:color w:val="auto"/>
          <w:szCs w:val="23"/>
        </w:rPr>
      </w:pPr>
      <w:r>
        <w:rPr>
          <w:b/>
          <w:color w:val="auto"/>
          <w:szCs w:val="23"/>
        </w:rPr>
        <w:tab/>
      </w:r>
      <w:r w:rsidR="006848DB">
        <w:rPr>
          <w:b/>
          <w:color w:val="auto"/>
          <w:szCs w:val="23"/>
        </w:rPr>
        <w:tab/>
      </w:r>
      <w:r w:rsidR="006848DB">
        <w:rPr>
          <w:b/>
          <w:color w:val="auto"/>
          <w:szCs w:val="23"/>
        </w:rPr>
        <w:tab/>
        <w:t>(iii</w:t>
      </w:r>
      <w:r w:rsidR="001D701C">
        <w:rPr>
          <w:b/>
          <w:color w:val="auto"/>
          <w:szCs w:val="23"/>
        </w:rPr>
        <w:t xml:space="preserve">) </w:t>
      </w:r>
      <w:r>
        <w:rPr>
          <w:b/>
          <w:color w:val="auto"/>
          <w:szCs w:val="23"/>
        </w:rPr>
        <w:t xml:space="preserve"> Universal Product Code (UPC)</w:t>
      </w:r>
      <w:r w:rsidR="00840A64">
        <w:rPr>
          <w:b/>
          <w:color w:val="auto"/>
          <w:szCs w:val="23"/>
        </w:rPr>
        <w:t>.</w:t>
      </w:r>
    </w:p>
    <w:p w14:paraId="4D574A02" w14:textId="77777777" w:rsidR="00840A64" w:rsidRDefault="00840A64" w:rsidP="00D13E3D">
      <w:pPr>
        <w:pStyle w:val="Default"/>
        <w:tabs>
          <w:tab w:val="left" w:pos="360"/>
          <w:tab w:val="left" w:pos="806"/>
          <w:tab w:val="left" w:pos="1210"/>
          <w:tab w:val="left" w:pos="1656"/>
          <w:tab w:val="left" w:pos="2131"/>
          <w:tab w:val="left" w:pos="2520"/>
        </w:tabs>
        <w:spacing w:line="240" w:lineRule="exact"/>
        <w:rPr>
          <w:b/>
          <w:color w:val="auto"/>
          <w:szCs w:val="23"/>
        </w:rPr>
      </w:pPr>
    </w:p>
    <w:p w14:paraId="6634C422" w14:textId="1FDBA66D" w:rsidR="006843C5" w:rsidRDefault="006843C5">
      <w:pPr>
        <w:pStyle w:val="Default"/>
        <w:tabs>
          <w:tab w:val="left" w:pos="360"/>
          <w:tab w:val="left" w:pos="806"/>
          <w:tab w:val="left" w:pos="1210"/>
          <w:tab w:val="left" w:pos="1656"/>
          <w:tab w:val="left" w:pos="2131"/>
          <w:tab w:val="left" w:pos="2520"/>
        </w:tabs>
        <w:spacing w:line="240" w:lineRule="exact"/>
        <w:rPr>
          <w:b/>
          <w:color w:val="auto"/>
          <w:szCs w:val="23"/>
        </w:rPr>
      </w:pPr>
      <w:r>
        <w:rPr>
          <w:b/>
          <w:color w:val="auto"/>
          <w:szCs w:val="23"/>
        </w:rPr>
        <w:tab/>
      </w:r>
      <w:r w:rsidR="006848DB">
        <w:rPr>
          <w:b/>
          <w:color w:val="auto"/>
          <w:szCs w:val="23"/>
        </w:rPr>
        <w:tab/>
      </w:r>
      <w:r w:rsidR="006848DB">
        <w:rPr>
          <w:b/>
          <w:color w:val="auto"/>
          <w:szCs w:val="23"/>
        </w:rPr>
        <w:tab/>
        <w:t>(iv</w:t>
      </w:r>
      <w:r>
        <w:rPr>
          <w:b/>
          <w:color w:val="auto"/>
          <w:szCs w:val="23"/>
        </w:rPr>
        <w:t xml:space="preserve">) </w:t>
      </w:r>
      <w:r w:rsidR="001D701C">
        <w:rPr>
          <w:b/>
          <w:color w:val="auto"/>
          <w:szCs w:val="23"/>
        </w:rPr>
        <w:t xml:space="preserve"> </w:t>
      </w:r>
      <w:r>
        <w:rPr>
          <w:b/>
          <w:color w:val="auto"/>
          <w:szCs w:val="23"/>
        </w:rPr>
        <w:t>Global Standards 1 (GS1)</w:t>
      </w:r>
      <w:r w:rsidR="00840A64">
        <w:rPr>
          <w:b/>
          <w:color w:val="auto"/>
          <w:szCs w:val="23"/>
        </w:rPr>
        <w:t>.</w:t>
      </w:r>
    </w:p>
    <w:p w14:paraId="44F785FE" w14:textId="77777777" w:rsidR="00840A64" w:rsidRDefault="00840A64" w:rsidP="00D13E3D">
      <w:pPr>
        <w:pStyle w:val="Default"/>
        <w:tabs>
          <w:tab w:val="left" w:pos="360"/>
          <w:tab w:val="left" w:pos="806"/>
          <w:tab w:val="left" w:pos="1210"/>
          <w:tab w:val="left" w:pos="1656"/>
          <w:tab w:val="left" w:pos="2131"/>
          <w:tab w:val="left" w:pos="2520"/>
        </w:tabs>
        <w:spacing w:line="240" w:lineRule="exact"/>
        <w:rPr>
          <w:b/>
          <w:color w:val="auto"/>
          <w:szCs w:val="23"/>
        </w:rPr>
      </w:pPr>
    </w:p>
    <w:p w14:paraId="0BAF6B94" w14:textId="748AF611" w:rsidR="00EF3116" w:rsidRDefault="00C16CAA" w:rsidP="00D13E3D">
      <w:pPr>
        <w:pStyle w:val="Default"/>
        <w:tabs>
          <w:tab w:val="left" w:pos="360"/>
          <w:tab w:val="left" w:pos="806"/>
          <w:tab w:val="left" w:pos="1210"/>
          <w:tab w:val="left" w:pos="1656"/>
          <w:tab w:val="left" w:pos="2131"/>
          <w:tab w:val="left" w:pos="2520"/>
        </w:tabs>
        <w:spacing w:line="240" w:lineRule="exact"/>
        <w:rPr>
          <w:b/>
          <w:color w:val="auto"/>
          <w:szCs w:val="23"/>
        </w:rPr>
      </w:pPr>
      <w:r>
        <w:rPr>
          <w:b/>
          <w:color w:val="auto"/>
          <w:szCs w:val="23"/>
        </w:rPr>
        <w:tab/>
      </w:r>
      <w:r w:rsidR="006848DB">
        <w:rPr>
          <w:b/>
          <w:color w:val="auto"/>
          <w:szCs w:val="23"/>
        </w:rPr>
        <w:tab/>
      </w:r>
      <w:r w:rsidR="006848DB">
        <w:rPr>
          <w:b/>
          <w:color w:val="auto"/>
          <w:szCs w:val="23"/>
        </w:rPr>
        <w:tab/>
        <w:t>(v</w:t>
      </w:r>
      <w:r>
        <w:rPr>
          <w:b/>
          <w:color w:val="auto"/>
          <w:szCs w:val="23"/>
        </w:rPr>
        <w:t>)</w:t>
      </w:r>
      <w:r w:rsidR="001D701C">
        <w:rPr>
          <w:b/>
          <w:color w:val="auto"/>
          <w:szCs w:val="23"/>
        </w:rPr>
        <w:t xml:space="preserve"> </w:t>
      </w:r>
      <w:r w:rsidR="00EF3116">
        <w:rPr>
          <w:b/>
          <w:color w:val="auto"/>
          <w:szCs w:val="23"/>
        </w:rPr>
        <w:t xml:space="preserve"> Manufacturer Commercial and Government Entity</w:t>
      </w:r>
      <w:r w:rsidR="006843C5">
        <w:rPr>
          <w:b/>
          <w:color w:val="auto"/>
          <w:szCs w:val="23"/>
        </w:rPr>
        <w:t xml:space="preserve"> (CAGE) and </w:t>
      </w:r>
      <w:r w:rsidR="006848DB">
        <w:rPr>
          <w:b/>
          <w:color w:val="auto"/>
          <w:szCs w:val="23"/>
        </w:rPr>
        <w:t>part n</w:t>
      </w:r>
      <w:r w:rsidR="006843C5">
        <w:rPr>
          <w:b/>
          <w:color w:val="auto"/>
          <w:szCs w:val="23"/>
        </w:rPr>
        <w:t>umber</w:t>
      </w:r>
      <w:r w:rsidR="00840A64">
        <w:rPr>
          <w:b/>
          <w:color w:val="auto"/>
          <w:szCs w:val="23"/>
        </w:rPr>
        <w:t>.</w:t>
      </w:r>
    </w:p>
    <w:p w14:paraId="63BEC449" w14:textId="77777777" w:rsidR="006848DB" w:rsidRDefault="006848DB" w:rsidP="00D13E3D">
      <w:pPr>
        <w:pStyle w:val="Default"/>
        <w:tabs>
          <w:tab w:val="left" w:pos="360"/>
          <w:tab w:val="left" w:pos="806"/>
          <w:tab w:val="left" w:pos="1210"/>
          <w:tab w:val="left" w:pos="1656"/>
          <w:tab w:val="left" w:pos="2131"/>
          <w:tab w:val="left" w:pos="2520"/>
        </w:tabs>
        <w:spacing w:line="240" w:lineRule="exact"/>
        <w:rPr>
          <w:b/>
          <w:color w:val="auto"/>
          <w:szCs w:val="23"/>
        </w:rPr>
      </w:pPr>
    </w:p>
    <w:p w14:paraId="62348E83" w14:textId="67673C62" w:rsidR="00C16CAA" w:rsidRDefault="006848DB" w:rsidP="00D13E3D">
      <w:pPr>
        <w:pStyle w:val="Default"/>
        <w:tabs>
          <w:tab w:val="left" w:pos="360"/>
          <w:tab w:val="left" w:pos="806"/>
          <w:tab w:val="left" w:pos="1210"/>
          <w:tab w:val="left" w:pos="1656"/>
          <w:tab w:val="left" w:pos="2131"/>
          <w:tab w:val="left" w:pos="2520"/>
        </w:tabs>
        <w:spacing w:line="240" w:lineRule="exact"/>
        <w:rPr>
          <w:b/>
          <w:color w:val="auto"/>
          <w:szCs w:val="23"/>
        </w:rPr>
      </w:pPr>
      <w:r>
        <w:rPr>
          <w:b/>
          <w:color w:val="auto"/>
          <w:szCs w:val="23"/>
        </w:rPr>
        <w:tab/>
      </w:r>
      <w:r>
        <w:rPr>
          <w:b/>
          <w:color w:val="auto"/>
          <w:szCs w:val="23"/>
        </w:rPr>
        <w:tab/>
        <w:t xml:space="preserve">(2)  </w:t>
      </w:r>
      <w:proofErr w:type="spellStart"/>
      <w:r w:rsidRPr="00D13E3D">
        <w:rPr>
          <w:b/>
          <w:i/>
          <w:iCs/>
          <w:szCs w:val="23"/>
        </w:rPr>
        <w:t>Presolicitation</w:t>
      </w:r>
      <w:proofErr w:type="spellEnd"/>
      <w:r w:rsidRPr="00D13E3D">
        <w:rPr>
          <w:b/>
          <w:i/>
          <w:iCs/>
          <w:szCs w:val="23"/>
        </w:rPr>
        <w:t>.</w:t>
      </w:r>
      <w:r w:rsidRPr="006848DB">
        <w:rPr>
          <w:b/>
          <w:color w:val="auto"/>
          <w:szCs w:val="23"/>
        </w:rPr>
        <w:t xml:space="preserve"> </w:t>
      </w:r>
      <w:r>
        <w:rPr>
          <w:b/>
          <w:color w:val="auto"/>
          <w:szCs w:val="23"/>
        </w:rPr>
        <w:t xml:space="preserve"> </w:t>
      </w:r>
      <w:r w:rsidRPr="006848DB">
        <w:rPr>
          <w:b/>
          <w:color w:val="auto"/>
          <w:szCs w:val="23"/>
        </w:rPr>
        <w:t xml:space="preserve">For items identified as high risk in SPRS or by the requiring activity in purchase requests, the contracting officer shall mitigate this risk by including </w:t>
      </w:r>
      <w:r w:rsidR="00AE2A22">
        <w:rPr>
          <w:b/>
          <w:color w:val="auto"/>
          <w:szCs w:val="23"/>
        </w:rPr>
        <w:t>a clause that addresses f</w:t>
      </w:r>
      <w:r w:rsidRPr="006848DB">
        <w:rPr>
          <w:b/>
          <w:color w:val="auto"/>
          <w:szCs w:val="23"/>
        </w:rPr>
        <w:t xml:space="preserve">irst </w:t>
      </w:r>
      <w:r w:rsidR="00AE2A22">
        <w:rPr>
          <w:b/>
          <w:color w:val="auto"/>
          <w:szCs w:val="23"/>
        </w:rPr>
        <w:t>a</w:t>
      </w:r>
      <w:r w:rsidRPr="006848DB">
        <w:rPr>
          <w:b/>
          <w:color w:val="auto"/>
          <w:szCs w:val="23"/>
        </w:rPr>
        <w:t xml:space="preserve">rticle </w:t>
      </w:r>
      <w:r w:rsidR="00AE2A22">
        <w:rPr>
          <w:b/>
          <w:color w:val="auto"/>
          <w:szCs w:val="23"/>
        </w:rPr>
        <w:t>a</w:t>
      </w:r>
      <w:r w:rsidRPr="006848DB">
        <w:rPr>
          <w:b/>
          <w:color w:val="auto"/>
          <w:szCs w:val="23"/>
        </w:rPr>
        <w:t>pproval</w:t>
      </w:r>
      <w:r w:rsidR="00D7516F">
        <w:rPr>
          <w:b/>
          <w:color w:val="auto"/>
          <w:szCs w:val="23"/>
        </w:rPr>
        <w:t xml:space="preserve"> or c</w:t>
      </w:r>
      <w:r w:rsidRPr="006848DB">
        <w:rPr>
          <w:b/>
          <w:color w:val="auto"/>
          <w:szCs w:val="23"/>
        </w:rPr>
        <w:t xml:space="preserve">ertificate of </w:t>
      </w:r>
      <w:r w:rsidR="00D7516F">
        <w:rPr>
          <w:b/>
          <w:color w:val="auto"/>
          <w:szCs w:val="23"/>
        </w:rPr>
        <w:t>c</w:t>
      </w:r>
      <w:r w:rsidRPr="006848DB">
        <w:rPr>
          <w:b/>
          <w:color w:val="auto"/>
          <w:szCs w:val="23"/>
        </w:rPr>
        <w:t>onformance</w:t>
      </w:r>
      <w:r w:rsidR="007F78D9">
        <w:rPr>
          <w:b/>
          <w:color w:val="auto"/>
          <w:szCs w:val="23"/>
        </w:rPr>
        <w:t xml:space="preserve"> </w:t>
      </w:r>
      <w:r w:rsidRPr="006848DB">
        <w:rPr>
          <w:b/>
          <w:color w:val="auto"/>
          <w:szCs w:val="23"/>
        </w:rPr>
        <w:t>in the solicitation or by applying other risk mitigation strategies.</w:t>
      </w:r>
    </w:p>
    <w:p w14:paraId="154C14CE" w14:textId="77777777" w:rsidR="00C16CAA" w:rsidRDefault="00C16CAA" w:rsidP="00D13E3D">
      <w:pPr>
        <w:pStyle w:val="Default"/>
        <w:tabs>
          <w:tab w:val="left" w:pos="360"/>
          <w:tab w:val="left" w:pos="806"/>
          <w:tab w:val="left" w:pos="1210"/>
          <w:tab w:val="left" w:pos="1656"/>
          <w:tab w:val="left" w:pos="2131"/>
          <w:tab w:val="left" w:pos="2520"/>
        </w:tabs>
        <w:spacing w:line="240" w:lineRule="exact"/>
        <w:rPr>
          <w:b/>
          <w:color w:val="auto"/>
          <w:szCs w:val="23"/>
        </w:rPr>
      </w:pPr>
    </w:p>
    <w:p w14:paraId="22C6D4D1" w14:textId="680E691D" w:rsidR="000B4FF0" w:rsidRDefault="006848DB" w:rsidP="00D13E3D">
      <w:pPr>
        <w:pStyle w:val="Default"/>
        <w:tabs>
          <w:tab w:val="left" w:pos="360"/>
          <w:tab w:val="left" w:pos="806"/>
          <w:tab w:val="left" w:pos="1210"/>
          <w:tab w:val="left" w:pos="1656"/>
          <w:tab w:val="left" w:pos="2131"/>
          <w:tab w:val="left" w:pos="2520"/>
        </w:tabs>
        <w:spacing w:line="240" w:lineRule="exact"/>
        <w:rPr>
          <w:b/>
          <w:color w:val="auto"/>
          <w:szCs w:val="23"/>
        </w:rPr>
      </w:pPr>
      <w:r>
        <w:rPr>
          <w:b/>
          <w:color w:val="auto"/>
          <w:szCs w:val="23"/>
        </w:rPr>
        <w:tab/>
      </w:r>
      <w:r w:rsidR="0055660E">
        <w:rPr>
          <w:b/>
          <w:color w:val="auto"/>
          <w:szCs w:val="23"/>
        </w:rPr>
        <w:t>(b)</w:t>
      </w:r>
      <w:r w:rsidR="000B4FF0" w:rsidRPr="000B4FF0">
        <w:rPr>
          <w:b/>
          <w:color w:val="auto"/>
          <w:szCs w:val="23"/>
        </w:rPr>
        <w:t xml:space="preserve">  </w:t>
      </w:r>
      <w:r w:rsidRPr="00D7516F">
        <w:rPr>
          <w:b/>
          <w:i/>
          <w:iCs/>
          <w:color w:val="auto"/>
          <w:szCs w:val="23"/>
        </w:rPr>
        <w:t>P</w:t>
      </w:r>
      <w:r w:rsidR="00297AA0" w:rsidRPr="00D7516F">
        <w:rPr>
          <w:b/>
          <w:i/>
          <w:iCs/>
          <w:color w:val="auto"/>
          <w:szCs w:val="23"/>
        </w:rPr>
        <w:t xml:space="preserve">rice </w:t>
      </w:r>
      <w:r w:rsidR="00FA0119" w:rsidRPr="00D7516F">
        <w:rPr>
          <w:b/>
          <w:i/>
          <w:iCs/>
          <w:color w:val="auto"/>
          <w:szCs w:val="23"/>
        </w:rPr>
        <w:t>r</w:t>
      </w:r>
      <w:r w:rsidR="00297AA0" w:rsidRPr="00D7516F">
        <w:rPr>
          <w:b/>
          <w:i/>
          <w:iCs/>
          <w:color w:val="auto"/>
          <w:szCs w:val="23"/>
        </w:rPr>
        <w:t>isk</w:t>
      </w:r>
      <w:r w:rsidRPr="00D7516F">
        <w:rPr>
          <w:b/>
          <w:i/>
          <w:iCs/>
          <w:color w:val="auto"/>
          <w:szCs w:val="23"/>
        </w:rPr>
        <w:t>.</w:t>
      </w:r>
      <w:r>
        <w:rPr>
          <w:b/>
          <w:color w:val="auto"/>
          <w:szCs w:val="23"/>
        </w:rPr>
        <w:t xml:space="preserve"> </w:t>
      </w:r>
      <w:r w:rsidR="00297AA0" w:rsidRPr="000B4FF0">
        <w:rPr>
          <w:b/>
          <w:color w:val="auto"/>
          <w:szCs w:val="23"/>
        </w:rPr>
        <w:t xml:space="preserve"> SPRS provides the </w:t>
      </w:r>
      <w:r w:rsidR="00297AA0">
        <w:rPr>
          <w:b/>
          <w:color w:val="auto"/>
          <w:szCs w:val="23"/>
        </w:rPr>
        <w:t>contracting officer</w:t>
      </w:r>
      <w:r w:rsidR="00297AA0" w:rsidRPr="000B4FF0">
        <w:rPr>
          <w:b/>
          <w:color w:val="auto"/>
          <w:szCs w:val="23"/>
        </w:rPr>
        <w:t xml:space="preserve"> warning of possible over- or under-payment risks based on historical purchase data</w:t>
      </w:r>
      <w:r w:rsidR="00CF3A6B">
        <w:rPr>
          <w:b/>
          <w:color w:val="auto"/>
          <w:szCs w:val="23"/>
        </w:rPr>
        <w:t>.</w:t>
      </w:r>
    </w:p>
    <w:p w14:paraId="40DF0F52" w14:textId="77777777" w:rsidR="00497F63" w:rsidRDefault="00497F63" w:rsidP="00D13E3D">
      <w:pPr>
        <w:pStyle w:val="Default"/>
        <w:tabs>
          <w:tab w:val="left" w:pos="360"/>
          <w:tab w:val="left" w:pos="806"/>
          <w:tab w:val="left" w:pos="1210"/>
          <w:tab w:val="left" w:pos="1656"/>
          <w:tab w:val="left" w:pos="2131"/>
          <w:tab w:val="left" w:pos="2520"/>
        </w:tabs>
        <w:spacing w:line="240" w:lineRule="exact"/>
        <w:rPr>
          <w:b/>
          <w:color w:val="auto"/>
          <w:szCs w:val="23"/>
        </w:rPr>
      </w:pPr>
    </w:p>
    <w:p w14:paraId="7EF5A960" w14:textId="0C65FE2D" w:rsidR="000B4FF0" w:rsidRPr="000B4FF0" w:rsidRDefault="006848DB" w:rsidP="00D13E3D">
      <w:pPr>
        <w:pStyle w:val="Default"/>
        <w:tabs>
          <w:tab w:val="left" w:pos="360"/>
          <w:tab w:val="left" w:pos="806"/>
          <w:tab w:val="left" w:pos="1210"/>
          <w:tab w:val="left" w:pos="1656"/>
          <w:tab w:val="left" w:pos="2131"/>
          <w:tab w:val="left" w:pos="2520"/>
        </w:tabs>
        <w:spacing w:line="240" w:lineRule="exact"/>
      </w:pPr>
      <w:r>
        <w:rPr>
          <w:b/>
          <w:color w:val="auto"/>
          <w:szCs w:val="23"/>
        </w:rPr>
        <w:tab/>
      </w:r>
      <w:r w:rsidR="0055660E">
        <w:rPr>
          <w:b/>
          <w:color w:val="auto"/>
          <w:szCs w:val="23"/>
        </w:rPr>
        <w:t xml:space="preserve">(c)  </w:t>
      </w:r>
      <w:r w:rsidRPr="00D13E3D">
        <w:rPr>
          <w:b/>
          <w:i/>
          <w:iCs/>
          <w:szCs w:val="23"/>
        </w:rPr>
        <w:t>S</w:t>
      </w:r>
      <w:r w:rsidR="00FA0119" w:rsidRPr="00D13E3D">
        <w:rPr>
          <w:b/>
          <w:i/>
          <w:iCs/>
          <w:szCs w:val="23"/>
        </w:rPr>
        <w:t>upplier risk</w:t>
      </w:r>
      <w:r w:rsidRPr="00D13E3D">
        <w:rPr>
          <w:b/>
          <w:i/>
          <w:iCs/>
          <w:szCs w:val="23"/>
        </w:rPr>
        <w:t>.</w:t>
      </w:r>
      <w:r>
        <w:rPr>
          <w:b/>
          <w:color w:val="auto"/>
          <w:szCs w:val="23"/>
        </w:rPr>
        <w:t xml:space="preserve"> </w:t>
      </w:r>
      <w:r w:rsidR="00FA0119">
        <w:rPr>
          <w:b/>
          <w:color w:val="auto"/>
          <w:szCs w:val="23"/>
        </w:rPr>
        <w:t xml:space="preserve"> </w:t>
      </w:r>
      <w:r w:rsidR="000B4FF0" w:rsidRPr="000B4FF0">
        <w:rPr>
          <w:b/>
          <w:color w:val="auto"/>
          <w:szCs w:val="23"/>
        </w:rPr>
        <w:t xml:space="preserve">SPRS provides </w:t>
      </w:r>
      <w:r w:rsidR="00822DEC">
        <w:rPr>
          <w:b/>
          <w:color w:val="auto"/>
          <w:szCs w:val="23"/>
        </w:rPr>
        <w:t xml:space="preserve">the contracting officer </w:t>
      </w:r>
      <w:r w:rsidR="00822DEC" w:rsidRPr="000B4FF0">
        <w:rPr>
          <w:b/>
          <w:color w:val="auto"/>
          <w:szCs w:val="23"/>
        </w:rPr>
        <w:t>a</w:t>
      </w:r>
      <w:r w:rsidR="000B4FF0" w:rsidRPr="000B4FF0">
        <w:rPr>
          <w:b/>
          <w:color w:val="auto"/>
          <w:szCs w:val="23"/>
        </w:rPr>
        <w:t xml:space="preserve"> score for the assessment of the contractor</w:t>
      </w:r>
      <w:r w:rsidR="00CF3A6B">
        <w:rPr>
          <w:b/>
          <w:color w:val="auto"/>
          <w:szCs w:val="23"/>
        </w:rPr>
        <w:t>’s</w:t>
      </w:r>
      <w:r w:rsidR="000B4FF0" w:rsidRPr="000B4FF0">
        <w:rPr>
          <w:b/>
          <w:color w:val="auto"/>
          <w:szCs w:val="23"/>
        </w:rPr>
        <w:t xml:space="preserve"> performance.  The </w:t>
      </w:r>
      <w:r w:rsidR="00FA0119">
        <w:rPr>
          <w:b/>
          <w:color w:val="auto"/>
          <w:szCs w:val="23"/>
        </w:rPr>
        <w:t>s</w:t>
      </w:r>
      <w:r w:rsidR="000B4FF0" w:rsidRPr="000B4FF0">
        <w:rPr>
          <w:b/>
          <w:color w:val="auto"/>
          <w:szCs w:val="23"/>
        </w:rPr>
        <w:t xml:space="preserve">upplier </w:t>
      </w:r>
      <w:r w:rsidR="00FA0119">
        <w:rPr>
          <w:b/>
          <w:color w:val="auto"/>
          <w:szCs w:val="23"/>
        </w:rPr>
        <w:t>r</w:t>
      </w:r>
      <w:r w:rsidR="000B4FF0" w:rsidRPr="000B4FF0">
        <w:rPr>
          <w:b/>
          <w:color w:val="auto"/>
          <w:szCs w:val="23"/>
        </w:rPr>
        <w:t xml:space="preserve">isk </w:t>
      </w:r>
      <w:r w:rsidR="00CF3A6B">
        <w:rPr>
          <w:b/>
          <w:color w:val="auto"/>
          <w:szCs w:val="23"/>
        </w:rPr>
        <w:t>s</w:t>
      </w:r>
      <w:r w:rsidR="000B4FF0" w:rsidRPr="000B4FF0">
        <w:rPr>
          <w:b/>
          <w:color w:val="auto"/>
          <w:szCs w:val="23"/>
        </w:rPr>
        <w:t xml:space="preserve">core includes data associated with </w:t>
      </w:r>
      <w:r w:rsidR="00CF3A6B">
        <w:rPr>
          <w:b/>
          <w:color w:val="auto"/>
          <w:szCs w:val="23"/>
        </w:rPr>
        <w:t xml:space="preserve">the </w:t>
      </w:r>
      <w:r w:rsidR="000B4FF0" w:rsidRPr="000B4FF0">
        <w:rPr>
          <w:b/>
          <w:color w:val="auto"/>
          <w:szCs w:val="23"/>
        </w:rPr>
        <w:t>contractor’s quality and delivery data.</w:t>
      </w:r>
    </w:p>
    <w:p w14:paraId="316FCA8D" w14:textId="77777777" w:rsidR="000B4FF0" w:rsidRPr="000B4FF0" w:rsidRDefault="000B4FF0"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p>
    <w:p w14:paraId="3D527634" w14:textId="282C8EFC" w:rsidR="000B4FF0" w:rsidRPr="000B4FF0" w:rsidRDefault="00D72469"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r>
        <w:rPr>
          <w:rFonts w:ascii="Arial" w:hAnsi="Arial" w:cs="Arial"/>
          <w:b/>
          <w:sz w:val="24"/>
        </w:rPr>
        <w:tab/>
        <w:t xml:space="preserve">(d) </w:t>
      </w:r>
      <w:r w:rsidR="000B4FF0" w:rsidRPr="000B4FF0">
        <w:rPr>
          <w:rFonts w:ascii="Arial" w:hAnsi="Arial" w:cs="Arial"/>
          <w:b/>
          <w:sz w:val="24"/>
        </w:rPr>
        <w:t xml:space="preserve"> </w:t>
      </w:r>
      <w:r w:rsidR="000B4FF0" w:rsidRPr="00D13E3D">
        <w:rPr>
          <w:rFonts w:ascii="Arial" w:hAnsi="Arial" w:cs="Arial"/>
          <w:b/>
          <w:i/>
          <w:iCs/>
          <w:sz w:val="24"/>
        </w:rPr>
        <w:t>Evaluation of quotations or offers for supplies</w:t>
      </w:r>
      <w:r w:rsidRPr="00D13E3D">
        <w:rPr>
          <w:rFonts w:ascii="Arial" w:hAnsi="Arial" w:cs="Arial"/>
          <w:b/>
          <w:i/>
          <w:iCs/>
          <w:sz w:val="24"/>
        </w:rPr>
        <w:t>.</w:t>
      </w:r>
      <w:r w:rsidR="009A398D">
        <w:rPr>
          <w:rFonts w:ascii="Arial" w:hAnsi="Arial" w:cs="Arial"/>
          <w:b/>
          <w:i/>
          <w:iCs/>
          <w:sz w:val="24"/>
        </w:rPr>
        <w:t xml:space="preserve">  </w:t>
      </w:r>
      <w:r w:rsidR="000B4FF0" w:rsidRPr="000B4FF0">
        <w:rPr>
          <w:rFonts w:ascii="Arial" w:hAnsi="Arial" w:cs="Arial"/>
          <w:b/>
          <w:sz w:val="24"/>
        </w:rPr>
        <w:t xml:space="preserve">During the evaluation of the offers received for supplies or services that contain supplies, the contracting officer shall </w:t>
      </w:r>
      <w:r w:rsidR="00C829EE">
        <w:rPr>
          <w:rFonts w:ascii="Arial" w:hAnsi="Arial" w:cs="Arial"/>
          <w:b/>
          <w:sz w:val="24"/>
        </w:rPr>
        <w:t>consider</w:t>
      </w:r>
      <w:r w:rsidR="000B4FF0" w:rsidRPr="000B4FF0">
        <w:rPr>
          <w:rFonts w:ascii="Arial" w:hAnsi="Arial" w:cs="Arial"/>
          <w:b/>
          <w:sz w:val="24"/>
        </w:rPr>
        <w:t xml:space="preserve"> the risk </w:t>
      </w:r>
      <w:r w:rsidR="00C829EE">
        <w:rPr>
          <w:rFonts w:ascii="Arial" w:hAnsi="Arial" w:cs="Arial"/>
          <w:b/>
          <w:sz w:val="24"/>
        </w:rPr>
        <w:t>assessments</w:t>
      </w:r>
      <w:r w:rsidR="00C16CAA">
        <w:rPr>
          <w:rFonts w:ascii="Arial" w:hAnsi="Arial" w:cs="Arial"/>
          <w:b/>
          <w:sz w:val="24"/>
        </w:rPr>
        <w:t xml:space="preserve"> </w:t>
      </w:r>
      <w:r w:rsidR="000B4FF0" w:rsidRPr="000B4FF0">
        <w:rPr>
          <w:rFonts w:ascii="Arial" w:hAnsi="Arial" w:cs="Arial"/>
          <w:b/>
          <w:sz w:val="24"/>
        </w:rPr>
        <w:t>available in SPRS</w:t>
      </w:r>
      <w:r w:rsidR="00C16CAA">
        <w:rPr>
          <w:rFonts w:ascii="Arial" w:hAnsi="Arial" w:cs="Arial"/>
          <w:b/>
          <w:sz w:val="24"/>
        </w:rPr>
        <w:t>.</w:t>
      </w:r>
    </w:p>
    <w:p w14:paraId="1F8D7F6F" w14:textId="6CE11E5D" w:rsidR="000B4FF0" w:rsidRDefault="000B4FF0"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p>
    <w:p w14:paraId="1356B9F8" w14:textId="7E348AC3" w:rsidR="009D27C3" w:rsidRDefault="009D27C3"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p>
    <w:p w14:paraId="40BC4BFB" w14:textId="77777777" w:rsidR="007F78D9" w:rsidRPr="000B4FF0" w:rsidRDefault="007F78D9"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p>
    <w:p w14:paraId="125E974D" w14:textId="74F64102" w:rsidR="000B4FF0" w:rsidRDefault="00D72469"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r>
        <w:rPr>
          <w:rFonts w:ascii="Arial" w:hAnsi="Arial" w:cs="Arial"/>
          <w:b/>
          <w:sz w:val="24"/>
        </w:rPr>
        <w:lastRenderedPageBreak/>
        <w:tab/>
        <w:t xml:space="preserve">(e) </w:t>
      </w:r>
      <w:r w:rsidR="000B4FF0" w:rsidRPr="000B4FF0">
        <w:rPr>
          <w:rFonts w:ascii="Arial" w:hAnsi="Arial" w:cs="Arial"/>
          <w:b/>
          <w:sz w:val="24"/>
        </w:rPr>
        <w:t xml:space="preserve"> </w:t>
      </w:r>
      <w:r w:rsidR="000B4FF0" w:rsidRPr="00D13E3D">
        <w:rPr>
          <w:rFonts w:ascii="Arial" w:hAnsi="Arial" w:cs="Arial"/>
          <w:b/>
          <w:i/>
          <w:iCs/>
          <w:sz w:val="24"/>
        </w:rPr>
        <w:t>Award and documentation</w:t>
      </w:r>
      <w:r w:rsidRPr="00D13E3D">
        <w:rPr>
          <w:rFonts w:ascii="Arial" w:hAnsi="Arial" w:cs="Arial"/>
          <w:b/>
          <w:i/>
          <w:iCs/>
          <w:sz w:val="24"/>
        </w:rPr>
        <w:t>.</w:t>
      </w:r>
    </w:p>
    <w:p w14:paraId="51DF0D82" w14:textId="77777777" w:rsidR="00D72469" w:rsidRPr="000B4FF0" w:rsidRDefault="00D72469"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p>
    <w:p w14:paraId="6BB04221" w14:textId="5931E871" w:rsidR="000B4FF0" w:rsidRPr="000B4FF0" w:rsidRDefault="00D72469"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r>
        <w:rPr>
          <w:rFonts w:ascii="Arial" w:hAnsi="Arial" w:cs="Arial"/>
          <w:b/>
          <w:sz w:val="24"/>
        </w:rPr>
        <w:tab/>
      </w:r>
      <w:r>
        <w:rPr>
          <w:rFonts w:ascii="Arial" w:hAnsi="Arial" w:cs="Arial"/>
          <w:b/>
          <w:sz w:val="24"/>
        </w:rPr>
        <w:tab/>
        <w:t>(</w:t>
      </w:r>
      <w:r w:rsidR="00A93951">
        <w:rPr>
          <w:rFonts w:ascii="Arial" w:hAnsi="Arial" w:cs="Arial"/>
          <w:b/>
          <w:sz w:val="24"/>
        </w:rPr>
        <w:t>1</w:t>
      </w:r>
      <w:r>
        <w:rPr>
          <w:rFonts w:ascii="Arial" w:hAnsi="Arial" w:cs="Arial"/>
          <w:b/>
          <w:sz w:val="24"/>
        </w:rPr>
        <w:t xml:space="preserve">)  </w:t>
      </w:r>
      <w:r w:rsidR="000B4FF0" w:rsidRPr="000B4FF0">
        <w:rPr>
          <w:rFonts w:ascii="Arial" w:hAnsi="Arial" w:cs="Arial"/>
          <w:b/>
          <w:sz w:val="24"/>
        </w:rPr>
        <w:t xml:space="preserve">In determining a price fair and reasonable, the contracting officer shall review the price risk data provided in SPRS and follow the procedures at FAR 13.106 or 15.4 to make an award decision.  In the event </w:t>
      </w:r>
      <w:r>
        <w:rPr>
          <w:rFonts w:ascii="Arial" w:hAnsi="Arial" w:cs="Arial"/>
          <w:b/>
          <w:sz w:val="24"/>
        </w:rPr>
        <w:t>that</w:t>
      </w:r>
      <w:r w:rsidRPr="000B4FF0">
        <w:rPr>
          <w:rFonts w:ascii="Arial" w:hAnsi="Arial" w:cs="Arial"/>
          <w:b/>
          <w:sz w:val="24"/>
        </w:rPr>
        <w:t xml:space="preserve"> </w:t>
      </w:r>
      <w:r w:rsidR="000B4FF0" w:rsidRPr="000B4FF0">
        <w:rPr>
          <w:rFonts w:ascii="Arial" w:hAnsi="Arial" w:cs="Arial"/>
          <w:b/>
          <w:sz w:val="24"/>
        </w:rPr>
        <w:t xml:space="preserve">price risk has been identified, </w:t>
      </w:r>
      <w:r w:rsidR="00CF3A6B">
        <w:rPr>
          <w:rFonts w:ascii="Arial" w:hAnsi="Arial" w:cs="Arial"/>
          <w:b/>
          <w:sz w:val="24"/>
        </w:rPr>
        <w:t xml:space="preserve">the contracting officer shall perform </w:t>
      </w:r>
      <w:r w:rsidR="000B4FF0" w:rsidRPr="000B4FF0">
        <w:rPr>
          <w:rFonts w:ascii="Arial" w:hAnsi="Arial" w:cs="Arial"/>
          <w:b/>
          <w:sz w:val="24"/>
        </w:rPr>
        <w:t>further price analysis.</w:t>
      </w:r>
    </w:p>
    <w:p w14:paraId="63E5D051" w14:textId="77777777" w:rsidR="000B4FF0" w:rsidRPr="000B4FF0" w:rsidRDefault="000B4FF0"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p>
    <w:p w14:paraId="0E9E2242" w14:textId="6AAF1648" w:rsidR="006B12C7" w:rsidRPr="000B4FF0" w:rsidRDefault="00D72469"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r>
        <w:rPr>
          <w:rFonts w:ascii="Arial" w:hAnsi="Arial" w:cs="Arial"/>
          <w:b/>
          <w:sz w:val="24"/>
        </w:rPr>
        <w:tab/>
      </w:r>
      <w:r>
        <w:rPr>
          <w:rFonts w:ascii="Arial" w:hAnsi="Arial" w:cs="Arial"/>
          <w:b/>
          <w:sz w:val="24"/>
        </w:rPr>
        <w:tab/>
        <w:t xml:space="preserve">(2)  </w:t>
      </w:r>
      <w:r w:rsidR="000B4FF0" w:rsidRPr="000B4FF0">
        <w:rPr>
          <w:rFonts w:ascii="Arial" w:hAnsi="Arial" w:cs="Arial"/>
          <w:b/>
          <w:sz w:val="24"/>
        </w:rPr>
        <w:t xml:space="preserve">In assessing </w:t>
      </w:r>
      <w:r w:rsidR="00D06D38">
        <w:rPr>
          <w:rFonts w:ascii="Arial" w:hAnsi="Arial" w:cs="Arial"/>
          <w:b/>
          <w:sz w:val="24"/>
        </w:rPr>
        <w:t xml:space="preserve">offeror </w:t>
      </w:r>
      <w:r w:rsidR="000B4FF0" w:rsidRPr="000B4FF0">
        <w:rPr>
          <w:rFonts w:ascii="Arial" w:hAnsi="Arial" w:cs="Arial"/>
          <w:b/>
          <w:sz w:val="24"/>
        </w:rPr>
        <w:t>performance capabilities, the contracting officer shall review the supplier risk data provided in SPRS and tailor the contract oversight for risk.  Mitigate supplier risk by</w:t>
      </w:r>
      <w:r w:rsidR="006B12C7">
        <w:rPr>
          <w:rFonts w:ascii="Arial" w:hAnsi="Arial" w:cs="Arial"/>
          <w:b/>
          <w:sz w:val="24"/>
        </w:rPr>
        <w:t>—</w:t>
      </w:r>
    </w:p>
    <w:p w14:paraId="73FB2CE3" w14:textId="77777777" w:rsidR="000B4FF0" w:rsidRPr="000B4FF0" w:rsidRDefault="000B4FF0"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p>
    <w:p w14:paraId="05F5FF06" w14:textId="32F14E64" w:rsidR="000B4FF0" w:rsidRDefault="00D72469"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r>
        <w:rPr>
          <w:rFonts w:ascii="Arial" w:hAnsi="Arial" w:cs="Arial"/>
          <w:b/>
          <w:sz w:val="24"/>
        </w:rPr>
        <w:tab/>
      </w:r>
      <w:r>
        <w:rPr>
          <w:rFonts w:ascii="Arial" w:hAnsi="Arial" w:cs="Arial"/>
          <w:b/>
          <w:sz w:val="24"/>
        </w:rPr>
        <w:tab/>
      </w:r>
      <w:r>
        <w:rPr>
          <w:rFonts w:ascii="Arial" w:hAnsi="Arial" w:cs="Arial"/>
          <w:b/>
          <w:sz w:val="24"/>
        </w:rPr>
        <w:tab/>
        <w:t>(</w:t>
      </w:r>
      <w:proofErr w:type="spellStart"/>
      <w:r>
        <w:rPr>
          <w:rFonts w:ascii="Arial" w:hAnsi="Arial" w:cs="Arial"/>
          <w:b/>
          <w:sz w:val="24"/>
        </w:rPr>
        <w:t>i</w:t>
      </w:r>
      <w:proofErr w:type="spellEnd"/>
      <w:r w:rsidR="000B4FF0" w:rsidRPr="000B4FF0">
        <w:rPr>
          <w:rFonts w:ascii="Arial" w:hAnsi="Arial" w:cs="Arial"/>
          <w:b/>
          <w:sz w:val="24"/>
        </w:rPr>
        <w:t>)</w:t>
      </w:r>
      <w:r>
        <w:rPr>
          <w:rFonts w:ascii="Arial" w:hAnsi="Arial" w:cs="Arial"/>
          <w:b/>
          <w:sz w:val="24"/>
        </w:rPr>
        <w:t xml:space="preserve"> </w:t>
      </w:r>
      <w:r w:rsidR="000B4FF0" w:rsidRPr="000B4FF0">
        <w:rPr>
          <w:rFonts w:ascii="Arial" w:hAnsi="Arial" w:cs="Arial"/>
          <w:b/>
          <w:sz w:val="24"/>
        </w:rPr>
        <w:t xml:space="preserve"> Including clauses to strengthen oversight (e.g.</w:t>
      </w:r>
      <w:r w:rsidR="006B12C7">
        <w:rPr>
          <w:rFonts w:ascii="Arial" w:hAnsi="Arial" w:cs="Arial"/>
          <w:b/>
          <w:sz w:val="24"/>
        </w:rPr>
        <w:t>,</w:t>
      </w:r>
      <w:r w:rsidR="000B4FF0" w:rsidRPr="000B4FF0">
        <w:rPr>
          <w:rFonts w:ascii="Arial" w:hAnsi="Arial" w:cs="Arial"/>
          <w:b/>
          <w:sz w:val="24"/>
        </w:rPr>
        <w:t xml:space="preserve"> </w:t>
      </w:r>
      <w:r w:rsidR="00AD3BF9">
        <w:rPr>
          <w:rFonts w:ascii="Arial" w:hAnsi="Arial" w:cs="Arial"/>
          <w:b/>
          <w:sz w:val="24"/>
        </w:rPr>
        <w:t>a clause that addresses f</w:t>
      </w:r>
      <w:r w:rsidR="000B4FF0" w:rsidRPr="000B4FF0">
        <w:rPr>
          <w:rFonts w:ascii="Arial" w:hAnsi="Arial" w:cs="Arial"/>
          <w:b/>
          <w:sz w:val="24"/>
        </w:rPr>
        <w:t xml:space="preserve">irst </w:t>
      </w:r>
      <w:r w:rsidR="00AD3BF9">
        <w:rPr>
          <w:rFonts w:ascii="Arial" w:hAnsi="Arial" w:cs="Arial"/>
          <w:b/>
          <w:sz w:val="24"/>
        </w:rPr>
        <w:t>a</w:t>
      </w:r>
      <w:r w:rsidR="000B4FF0" w:rsidRPr="000B4FF0">
        <w:rPr>
          <w:rFonts w:ascii="Arial" w:hAnsi="Arial" w:cs="Arial"/>
          <w:b/>
          <w:sz w:val="24"/>
        </w:rPr>
        <w:t xml:space="preserve">rticle </w:t>
      </w:r>
      <w:r w:rsidR="00AD3BF9">
        <w:rPr>
          <w:rFonts w:ascii="Arial" w:hAnsi="Arial" w:cs="Arial"/>
          <w:b/>
          <w:sz w:val="24"/>
        </w:rPr>
        <w:t>t</w:t>
      </w:r>
      <w:r w:rsidR="000B4FF0" w:rsidRPr="000B4FF0">
        <w:rPr>
          <w:rFonts w:ascii="Arial" w:hAnsi="Arial" w:cs="Arial"/>
          <w:b/>
          <w:sz w:val="24"/>
        </w:rPr>
        <w:t>esting</w:t>
      </w:r>
      <w:r w:rsidR="00AD3BF9">
        <w:rPr>
          <w:rFonts w:ascii="Arial" w:hAnsi="Arial" w:cs="Arial"/>
          <w:b/>
          <w:sz w:val="24"/>
        </w:rPr>
        <w:t xml:space="preserve"> or</w:t>
      </w:r>
      <w:r w:rsidR="000B4FF0" w:rsidRPr="000B4FF0">
        <w:rPr>
          <w:rFonts w:ascii="Arial" w:hAnsi="Arial" w:cs="Arial"/>
          <w:b/>
          <w:sz w:val="24"/>
        </w:rPr>
        <w:t xml:space="preserve"> </w:t>
      </w:r>
      <w:r w:rsidR="00AD3BF9">
        <w:rPr>
          <w:rFonts w:ascii="Arial" w:hAnsi="Arial" w:cs="Arial"/>
          <w:b/>
          <w:sz w:val="24"/>
        </w:rPr>
        <w:t>c</w:t>
      </w:r>
      <w:r w:rsidR="000B4FF0" w:rsidRPr="000B4FF0">
        <w:rPr>
          <w:rFonts w:ascii="Arial" w:hAnsi="Arial" w:cs="Arial"/>
          <w:b/>
          <w:sz w:val="24"/>
        </w:rPr>
        <w:t xml:space="preserve">ertificate of </w:t>
      </w:r>
      <w:r w:rsidR="00AD3BF9">
        <w:rPr>
          <w:rFonts w:ascii="Arial" w:hAnsi="Arial" w:cs="Arial"/>
          <w:b/>
          <w:sz w:val="24"/>
        </w:rPr>
        <w:t>c</w:t>
      </w:r>
      <w:r w:rsidR="000B4FF0" w:rsidRPr="000B4FF0">
        <w:rPr>
          <w:rFonts w:ascii="Arial" w:hAnsi="Arial" w:cs="Arial"/>
          <w:b/>
          <w:sz w:val="24"/>
        </w:rPr>
        <w:t>onformance)</w:t>
      </w:r>
      <w:r>
        <w:rPr>
          <w:rFonts w:ascii="Arial" w:hAnsi="Arial" w:cs="Arial"/>
          <w:b/>
          <w:sz w:val="24"/>
        </w:rPr>
        <w:t>;</w:t>
      </w:r>
      <w:r w:rsidR="000B4FF0" w:rsidRPr="000B4FF0">
        <w:rPr>
          <w:rFonts w:ascii="Arial" w:hAnsi="Arial" w:cs="Arial"/>
          <w:b/>
          <w:sz w:val="24"/>
        </w:rPr>
        <w:t xml:space="preserve"> and</w:t>
      </w:r>
    </w:p>
    <w:p w14:paraId="49454BA4" w14:textId="77777777" w:rsidR="00D72469" w:rsidRPr="000B4FF0" w:rsidRDefault="00D72469"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p>
    <w:p w14:paraId="0273B0D8" w14:textId="357CFBF4" w:rsidR="000B4FF0" w:rsidRPr="000B4FF0" w:rsidRDefault="00D72469"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r>
        <w:rPr>
          <w:rFonts w:ascii="Arial" w:hAnsi="Arial" w:cs="Arial"/>
          <w:b/>
          <w:sz w:val="24"/>
        </w:rPr>
        <w:tab/>
      </w:r>
      <w:r>
        <w:rPr>
          <w:rFonts w:ascii="Arial" w:hAnsi="Arial" w:cs="Arial"/>
          <w:b/>
          <w:sz w:val="24"/>
        </w:rPr>
        <w:tab/>
      </w:r>
      <w:r>
        <w:rPr>
          <w:rFonts w:ascii="Arial" w:hAnsi="Arial" w:cs="Arial"/>
          <w:b/>
          <w:sz w:val="24"/>
        </w:rPr>
        <w:tab/>
        <w:t>(ii</w:t>
      </w:r>
      <w:r w:rsidR="000B4FF0" w:rsidRPr="000B4FF0">
        <w:rPr>
          <w:rFonts w:ascii="Arial" w:hAnsi="Arial" w:cs="Arial"/>
          <w:b/>
          <w:sz w:val="24"/>
        </w:rPr>
        <w:t xml:space="preserve">) </w:t>
      </w:r>
      <w:r>
        <w:rPr>
          <w:rFonts w:ascii="Arial" w:hAnsi="Arial" w:cs="Arial"/>
          <w:b/>
          <w:sz w:val="24"/>
        </w:rPr>
        <w:t xml:space="preserve"> </w:t>
      </w:r>
      <w:r w:rsidR="000B4FF0" w:rsidRPr="000B4FF0">
        <w:rPr>
          <w:rFonts w:ascii="Arial" w:hAnsi="Arial" w:cs="Arial"/>
          <w:b/>
          <w:sz w:val="24"/>
        </w:rPr>
        <w:t>Removing discretionary clauses to recognize successful performance (e.g.</w:t>
      </w:r>
      <w:r w:rsidR="005B74E6">
        <w:rPr>
          <w:rFonts w:ascii="Arial" w:hAnsi="Arial" w:cs="Arial"/>
          <w:b/>
          <w:sz w:val="24"/>
        </w:rPr>
        <w:t>,</w:t>
      </w:r>
      <w:r w:rsidR="000B4FF0" w:rsidRPr="000B4FF0">
        <w:rPr>
          <w:rFonts w:ascii="Arial" w:hAnsi="Arial" w:cs="Arial"/>
          <w:b/>
          <w:sz w:val="24"/>
        </w:rPr>
        <w:t xml:space="preserve"> </w:t>
      </w:r>
      <w:r w:rsidR="00AD3BF9">
        <w:rPr>
          <w:rFonts w:ascii="Arial" w:hAnsi="Arial" w:cs="Arial"/>
          <w:b/>
          <w:sz w:val="24"/>
        </w:rPr>
        <w:t>a clause that addresses f</w:t>
      </w:r>
      <w:r w:rsidR="000B4FF0" w:rsidRPr="000B4FF0">
        <w:rPr>
          <w:rFonts w:ascii="Arial" w:hAnsi="Arial" w:cs="Arial"/>
          <w:b/>
          <w:sz w:val="24"/>
        </w:rPr>
        <w:t xml:space="preserve">irst </w:t>
      </w:r>
      <w:r w:rsidR="00AD3BF9">
        <w:rPr>
          <w:rFonts w:ascii="Arial" w:hAnsi="Arial" w:cs="Arial"/>
          <w:b/>
          <w:sz w:val="24"/>
        </w:rPr>
        <w:t>a</w:t>
      </w:r>
      <w:r w:rsidR="000B4FF0" w:rsidRPr="000B4FF0">
        <w:rPr>
          <w:rFonts w:ascii="Arial" w:hAnsi="Arial" w:cs="Arial"/>
          <w:b/>
          <w:sz w:val="24"/>
        </w:rPr>
        <w:t xml:space="preserve">rticle </w:t>
      </w:r>
      <w:r w:rsidR="00AD3BF9">
        <w:rPr>
          <w:rFonts w:ascii="Arial" w:hAnsi="Arial" w:cs="Arial"/>
          <w:b/>
          <w:sz w:val="24"/>
        </w:rPr>
        <w:t>t</w:t>
      </w:r>
      <w:r w:rsidR="000B4FF0" w:rsidRPr="000B4FF0">
        <w:rPr>
          <w:rFonts w:ascii="Arial" w:hAnsi="Arial" w:cs="Arial"/>
          <w:b/>
          <w:sz w:val="24"/>
        </w:rPr>
        <w:t>est</w:t>
      </w:r>
      <w:r w:rsidR="00AD3BF9">
        <w:rPr>
          <w:rFonts w:ascii="Arial" w:hAnsi="Arial" w:cs="Arial"/>
          <w:b/>
          <w:sz w:val="24"/>
        </w:rPr>
        <w:t>ing</w:t>
      </w:r>
      <w:r w:rsidR="000B4FF0" w:rsidRPr="000B4FF0">
        <w:rPr>
          <w:rFonts w:ascii="Arial" w:hAnsi="Arial" w:cs="Arial"/>
          <w:b/>
          <w:sz w:val="24"/>
        </w:rPr>
        <w:t>).</w:t>
      </w:r>
    </w:p>
    <w:p w14:paraId="2B53EEEA" w14:textId="77777777" w:rsidR="000B4FF0" w:rsidRPr="000B4FF0" w:rsidRDefault="000B4FF0" w:rsidP="00D13E3D">
      <w:pPr>
        <w:pStyle w:val="ListParagraph"/>
        <w:tabs>
          <w:tab w:val="left" w:pos="360"/>
          <w:tab w:val="left" w:pos="806"/>
          <w:tab w:val="left" w:pos="1210"/>
          <w:tab w:val="left" w:pos="1656"/>
          <w:tab w:val="left" w:pos="2131"/>
          <w:tab w:val="left" w:pos="2520"/>
        </w:tabs>
        <w:autoSpaceDE w:val="0"/>
        <w:autoSpaceDN w:val="0"/>
        <w:adjustRightInd w:val="0"/>
        <w:spacing w:after="0" w:line="240" w:lineRule="exact"/>
        <w:ind w:left="0"/>
        <w:rPr>
          <w:rFonts w:ascii="Arial" w:hAnsi="Arial" w:cs="Arial"/>
          <w:b/>
          <w:bCs/>
          <w:sz w:val="24"/>
          <w:szCs w:val="24"/>
        </w:rPr>
      </w:pPr>
    </w:p>
    <w:p w14:paraId="4E015370" w14:textId="06698317" w:rsidR="000B4FF0" w:rsidRPr="000B4FF0" w:rsidRDefault="00D72469" w:rsidP="00D13E3D">
      <w:pPr>
        <w:tabs>
          <w:tab w:val="left" w:pos="360"/>
          <w:tab w:val="left" w:pos="806"/>
          <w:tab w:val="left" w:pos="1210"/>
          <w:tab w:val="left" w:pos="1656"/>
          <w:tab w:val="left" w:pos="2131"/>
          <w:tab w:val="left" w:pos="2520"/>
        </w:tabs>
        <w:spacing w:after="0" w:line="240" w:lineRule="exact"/>
        <w:rPr>
          <w:rFonts w:ascii="Arial" w:hAnsi="Arial" w:cs="Arial"/>
          <w:b/>
          <w:sz w:val="24"/>
        </w:rPr>
      </w:pPr>
      <w:r>
        <w:rPr>
          <w:rFonts w:ascii="Arial" w:hAnsi="Arial" w:cs="Arial"/>
          <w:b/>
          <w:sz w:val="24"/>
        </w:rPr>
        <w:tab/>
      </w:r>
      <w:r>
        <w:rPr>
          <w:rFonts w:ascii="Arial" w:hAnsi="Arial" w:cs="Arial"/>
          <w:b/>
          <w:sz w:val="24"/>
        </w:rPr>
        <w:tab/>
        <w:t>(</w:t>
      </w:r>
      <w:r w:rsidR="007F78D9">
        <w:rPr>
          <w:rFonts w:ascii="Arial" w:hAnsi="Arial" w:cs="Arial"/>
          <w:b/>
          <w:sz w:val="24"/>
        </w:rPr>
        <w:t>3</w:t>
      </w:r>
      <w:r w:rsidR="000B4FF0" w:rsidRPr="000B4FF0">
        <w:rPr>
          <w:rFonts w:ascii="Arial" w:hAnsi="Arial" w:cs="Arial"/>
          <w:b/>
          <w:sz w:val="24"/>
        </w:rPr>
        <w:t xml:space="preserve">) </w:t>
      </w:r>
      <w:r>
        <w:rPr>
          <w:rFonts w:ascii="Arial" w:hAnsi="Arial" w:cs="Arial"/>
          <w:b/>
          <w:sz w:val="24"/>
        </w:rPr>
        <w:t xml:space="preserve"> </w:t>
      </w:r>
      <w:r w:rsidR="000B4FF0" w:rsidRPr="000B4FF0">
        <w:rPr>
          <w:rFonts w:ascii="Arial" w:hAnsi="Arial" w:cs="Arial"/>
          <w:b/>
          <w:sz w:val="24"/>
        </w:rPr>
        <w:t>The</w:t>
      </w:r>
      <w:r w:rsidR="00C829EE">
        <w:rPr>
          <w:rFonts w:ascii="Arial" w:hAnsi="Arial" w:cs="Arial"/>
          <w:b/>
          <w:sz w:val="24"/>
        </w:rPr>
        <w:t xml:space="preserve"> contracting officer</w:t>
      </w:r>
      <w:r w:rsidR="000B4FF0" w:rsidRPr="000B4FF0">
        <w:rPr>
          <w:rFonts w:ascii="Arial" w:hAnsi="Arial" w:cs="Arial"/>
          <w:b/>
          <w:sz w:val="24"/>
        </w:rPr>
        <w:t xml:space="preserve"> shall document the contract file on any action taken as a result of information obtained from SPRS.</w:t>
      </w:r>
    </w:p>
    <w:p w14:paraId="00873A20" w14:textId="77777777" w:rsidR="000B4FF0" w:rsidRDefault="000B4FF0" w:rsidP="00D13E3D">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sz w:val="24"/>
          <w:szCs w:val="24"/>
        </w:rPr>
      </w:pPr>
    </w:p>
    <w:p w14:paraId="5ECD8FFA" w14:textId="77777777" w:rsidR="00BF2BBF" w:rsidRPr="00D13E3D" w:rsidRDefault="0055660E" w:rsidP="00D13E3D">
      <w:pPr>
        <w:tabs>
          <w:tab w:val="left" w:pos="360"/>
          <w:tab w:val="left" w:pos="806"/>
          <w:tab w:val="left" w:pos="1210"/>
          <w:tab w:val="left" w:pos="1656"/>
          <w:tab w:val="left" w:pos="2131"/>
          <w:tab w:val="left" w:pos="2520"/>
        </w:tabs>
        <w:spacing w:after="0" w:line="240" w:lineRule="exact"/>
        <w:rPr>
          <w:rFonts w:ascii="Arial" w:hAnsi="Arial" w:cs="Arial"/>
          <w:sz w:val="24"/>
          <w:szCs w:val="24"/>
        </w:rPr>
      </w:pPr>
      <w:r w:rsidRPr="00D13E3D">
        <w:rPr>
          <w:rFonts w:ascii="Arial" w:hAnsi="Arial" w:cs="Arial"/>
          <w:sz w:val="24"/>
          <w:szCs w:val="24"/>
        </w:rPr>
        <w:t>* * * * *</w:t>
      </w:r>
    </w:p>
    <w:p w14:paraId="0F194610" w14:textId="77777777" w:rsidR="00BF2BBF" w:rsidRPr="00BF2BBF" w:rsidRDefault="00BF2BBF" w:rsidP="00D13E3D">
      <w:pPr>
        <w:widowControl w:val="0"/>
        <w:tabs>
          <w:tab w:val="left" w:pos="360"/>
          <w:tab w:val="left" w:pos="810"/>
          <w:tab w:val="left" w:pos="1210"/>
          <w:tab w:val="left" w:pos="1656"/>
          <w:tab w:val="left" w:pos="2131"/>
          <w:tab w:val="left" w:pos="2520"/>
        </w:tabs>
        <w:spacing w:after="0" w:line="240" w:lineRule="exact"/>
        <w:rPr>
          <w:rFonts w:ascii="Arial" w:eastAsia="Times New Roman" w:hAnsi="Arial" w:cs="Arial"/>
          <w:b/>
          <w:caps/>
          <w:spacing w:val="-5"/>
          <w:kern w:val="20"/>
          <w:sz w:val="24"/>
          <w:szCs w:val="24"/>
        </w:rPr>
      </w:pPr>
    </w:p>
    <w:p w14:paraId="57A18364" w14:textId="77777777" w:rsidR="00BF2BBF" w:rsidRPr="00BF2BBF" w:rsidRDefault="00BF2BBF" w:rsidP="00D13E3D">
      <w:pPr>
        <w:widowControl w:val="0"/>
        <w:tabs>
          <w:tab w:val="left" w:pos="360"/>
          <w:tab w:val="left" w:pos="810"/>
          <w:tab w:val="left" w:pos="1210"/>
          <w:tab w:val="left" w:pos="1656"/>
          <w:tab w:val="left" w:pos="2131"/>
          <w:tab w:val="left" w:pos="2520"/>
        </w:tabs>
        <w:spacing w:after="0" w:line="240" w:lineRule="exact"/>
        <w:rPr>
          <w:rFonts w:ascii="Arial" w:eastAsia="Times New Roman" w:hAnsi="Arial" w:cs="Arial"/>
          <w:b/>
          <w:caps/>
          <w:spacing w:val="-5"/>
          <w:kern w:val="20"/>
          <w:sz w:val="24"/>
          <w:szCs w:val="24"/>
        </w:rPr>
      </w:pPr>
      <w:r w:rsidRPr="00BF2BBF">
        <w:rPr>
          <w:rFonts w:ascii="Arial" w:eastAsia="Times New Roman" w:hAnsi="Arial" w:cs="Arial"/>
          <w:b/>
          <w:caps/>
          <w:spacing w:val="-5"/>
          <w:kern w:val="20"/>
          <w:sz w:val="24"/>
          <w:szCs w:val="24"/>
        </w:rPr>
        <w:t>PGI 209.1--responsible prospective contractors</w:t>
      </w:r>
    </w:p>
    <w:p w14:paraId="6A3A7A47" w14:textId="77777777" w:rsidR="00BF2BBF" w:rsidRPr="00BF2BBF" w:rsidRDefault="00BF2BBF" w:rsidP="00D13E3D">
      <w:pPr>
        <w:widowControl w:val="0"/>
        <w:tabs>
          <w:tab w:val="left" w:pos="360"/>
          <w:tab w:val="left" w:pos="810"/>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6071E5A9" w14:textId="7B707581" w:rsidR="00BF2BBF" w:rsidRDefault="00BF2BBF">
      <w:pPr>
        <w:tabs>
          <w:tab w:val="left" w:pos="360"/>
          <w:tab w:val="left" w:pos="806"/>
          <w:tab w:val="left" w:pos="1210"/>
          <w:tab w:val="left" w:pos="1656"/>
          <w:tab w:val="left" w:pos="2131"/>
          <w:tab w:val="left" w:pos="2520"/>
        </w:tabs>
        <w:spacing w:after="0" w:line="240" w:lineRule="exact"/>
        <w:rPr>
          <w:rFonts w:ascii="Arial" w:eastAsia="Times New Roman" w:hAnsi="Arial" w:cs="Arial"/>
          <w:b/>
          <w:kern w:val="20"/>
          <w:sz w:val="24"/>
          <w:szCs w:val="24"/>
        </w:rPr>
      </w:pPr>
      <w:r w:rsidRPr="00BF2BBF">
        <w:rPr>
          <w:rFonts w:ascii="Arial" w:eastAsia="Times New Roman" w:hAnsi="Arial" w:cs="Arial"/>
          <w:b/>
          <w:kern w:val="20"/>
          <w:sz w:val="24"/>
          <w:szCs w:val="24"/>
        </w:rPr>
        <w:t>PGI 209.105-1</w:t>
      </w:r>
      <w:r w:rsidR="00F80C82">
        <w:rPr>
          <w:rFonts w:ascii="Arial" w:eastAsia="Times New Roman" w:hAnsi="Arial" w:cs="Arial"/>
          <w:b/>
          <w:kern w:val="20"/>
          <w:sz w:val="24"/>
          <w:szCs w:val="24"/>
        </w:rPr>
        <w:t xml:space="preserve"> </w:t>
      </w:r>
      <w:r w:rsidRPr="00BF2BBF">
        <w:rPr>
          <w:rFonts w:ascii="Arial" w:eastAsia="Times New Roman" w:hAnsi="Arial" w:cs="Arial"/>
          <w:b/>
          <w:kern w:val="20"/>
          <w:sz w:val="24"/>
          <w:szCs w:val="24"/>
        </w:rPr>
        <w:t xml:space="preserve"> Obtaining </w:t>
      </w:r>
      <w:r w:rsidRPr="00D13E3D">
        <w:rPr>
          <w:rFonts w:ascii="Arial" w:eastAsia="Times New Roman" w:hAnsi="Arial" w:cs="Arial"/>
          <w:b/>
          <w:strike/>
          <w:kern w:val="20"/>
          <w:sz w:val="24"/>
          <w:szCs w:val="24"/>
        </w:rPr>
        <w:t>I</w:t>
      </w:r>
      <w:r w:rsidR="00F80C82">
        <w:rPr>
          <w:rFonts w:ascii="Arial" w:eastAsia="Times New Roman" w:hAnsi="Arial" w:cs="Arial"/>
          <w:b/>
          <w:kern w:val="20"/>
          <w:sz w:val="24"/>
          <w:szCs w:val="24"/>
        </w:rPr>
        <w:t>[</w:t>
      </w:r>
      <w:proofErr w:type="spellStart"/>
      <w:r w:rsidR="00F80C82">
        <w:rPr>
          <w:rFonts w:ascii="Arial" w:eastAsia="Times New Roman" w:hAnsi="Arial" w:cs="Arial"/>
          <w:b/>
          <w:kern w:val="20"/>
          <w:sz w:val="24"/>
          <w:szCs w:val="24"/>
        </w:rPr>
        <w:t>i</w:t>
      </w:r>
      <w:proofErr w:type="spellEnd"/>
      <w:r w:rsidR="00F80C82">
        <w:rPr>
          <w:rFonts w:ascii="Arial" w:eastAsia="Times New Roman" w:hAnsi="Arial" w:cs="Arial"/>
          <w:b/>
          <w:kern w:val="20"/>
          <w:sz w:val="24"/>
          <w:szCs w:val="24"/>
        </w:rPr>
        <w:t>]</w:t>
      </w:r>
      <w:proofErr w:type="spellStart"/>
      <w:r w:rsidRPr="00BF2BBF">
        <w:rPr>
          <w:rFonts w:ascii="Arial" w:eastAsia="Times New Roman" w:hAnsi="Arial" w:cs="Arial"/>
          <w:b/>
          <w:kern w:val="20"/>
          <w:sz w:val="24"/>
          <w:szCs w:val="24"/>
        </w:rPr>
        <w:t>nformation</w:t>
      </w:r>
      <w:proofErr w:type="spellEnd"/>
      <w:r w:rsidRPr="00BF2BBF">
        <w:rPr>
          <w:rFonts w:ascii="Arial" w:eastAsia="Times New Roman" w:hAnsi="Arial" w:cs="Arial"/>
          <w:b/>
          <w:kern w:val="20"/>
          <w:sz w:val="24"/>
          <w:szCs w:val="24"/>
        </w:rPr>
        <w:t>.</w:t>
      </w:r>
    </w:p>
    <w:p w14:paraId="4A75B4B2" w14:textId="77777777" w:rsidR="005B74E6" w:rsidRPr="00BF2BBF" w:rsidRDefault="005B74E6" w:rsidP="00D13E3D">
      <w:pPr>
        <w:tabs>
          <w:tab w:val="left" w:pos="360"/>
          <w:tab w:val="left" w:pos="806"/>
          <w:tab w:val="left" w:pos="1210"/>
          <w:tab w:val="left" w:pos="1656"/>
          <w:tab w:val="left" w:pos="2131"/>
          <w:tab w:val="left" w:pos="2520"/>
        </w:tabs>
        <w:spacing w:after="0" w:line="240" w:lineRule="exact"/>
        <w:rPr>
          <w:rFonts w:ascii="Arial" w:eastAsia="Times New Roman" w:hAnsi="Arial" w:cs="Arial"/>
          <w:b/>
          <w:kern w:val="20"/>
          <w:sz w:val="24"/>
          <w:szCs w:val="24"/>
        </w:rPr>
      </w:pPr>
    </w:p>
    <w:p w14:paraId="0C846581" w14:textId="20A1DB85" w:rsidR="00BF2BBF" w:rsidRDefault="00BF2BBF">
      <w:pPr>
        <w:tabs>
          <w:tab w:val="left" w:pos="360"/>
          <w:tab w:val="left" w:pos="720"/>
          <w:tab w:val="left" w:pos="806"/>
          <w:tab w:val="left" w:pos="1080"/>
          <w:tab w:val="left" w:pos="1210"/>
          <w:tab w:val="left" w:pos="1440"/>
          <w:tab w:val="left" w:pos="1656"/>
          <w:tab w:val="left" w:pos="2131"/>
          <w:tab w:val="left" w:pos="2520"/>
        </w:tabs>
        <w:spacing w:after="0" w:line="240" w:lineRule="exact"/>
        <w:rPr>
          <w:rFonts w:ascii="Arial" w:eastAsia="Times New Roman" w:hAnsi="Arial" w:cs="Arial"/>
          <w:kern w:val="20"/>
          <w:sz w:val="24"/>
          <w:szCs w:val="24"/>
          <w:lang w:eastAsia="x-none"/>
        </w:rPr>
      </w:pPr>
      <w:r w:rsidRPr="00BF2BBF">
        <w:rPr>
          <w:rFonts w:ascii="Arial" w:eastAsia="Times New Roman" w:hAnsi="Arial" w:cs="Arial"/>
          <w:kern w:val="20"/>
          <w:sz w:val="24"/>
          <w:szCs w:val="24"/>
          <w:lang w:eastAsia="x-none"/>
        </w:rPr>
        <w:t>* * * * *</w:t>
      </w:r>
    </w:p>
    <w:p w14:paraId="7C6F4266" w14:textId="77777777" w:rsidR="005B74E6" w:rsidRPr="00BF2BBF" w:rsidRDefault="005B74E6" w:rsidP="00D13E3D">
      <w:pPr>
        <w:tabs>
          <w:tab w:val="left" w:pos="360"/>
          <w:tab w:val="left" w:pos="720"/>
          <w:tab w:val="left" w:pos="806"/>
          <w:tab w:val="left" w:pos="1080"/>
          <w:tab w:val="left" w:pos="1210"/>
          <w:tab w:val="left" w:pos="1440"/>
          <w:tab w:val="left" w:pos="1656"/>
          <w:tab w:val="left" w:pos="2131"/>
          <w:tab w:val="left" w:pos="2520"/>
        </w:tabs>
        <w:spacing w:after="0" w:line="240" w:lineRule="exact"/>
        <w:rPr>
          <w:rFonts w:ascii="Arial" w:eastAsia="Times New Roman" w:hAnsi="Arial" w:cs="Arial"/>
          <w:kern w:val="20"/>
          <w:sz w:val="24"/>
          <w:szCs w:val="24"/>
          <w:lang w:eastAsia="x-none"/>
        </w:rPr>
      </w:pPr>
    </w:p>
    <w:p w14:paraId="4E36C8EC" w14:textId="0549006B" w:rsidR="00BF2BBF" w:rsidRPr="00BF2BBF" w:rsidRDefault="00BF2BBF">
      <w:pPr>
        <w:tabs>
          <w:tab w:val="left" w:pos="360"/>
          <w:tab w:val="left" w:pos="810"/>
          <w:tab w:val="left" w:pos="1210"/>
          <w:tab w:val="left" w:pos="1656"/>
          <w:tab w:val="left" w:pos="2131"/>
          <w:tab w:val="left" w:pos="2520"/>
        </w:tabs>
        <w:spacing w:after="0" w:line="240" w:lineRule="exact"/>
        <w:rPr>
          <w:rFonts w:ascii="Arial" w:eastAsia="Times New Roman" w:hAnsi="Arial" w:cs="Arial"/>
          <w:bCs/>
          <w:kern w:val="20"/>
          <w:sz w:val="24"/>
          <w:szCs w:val="24"/>
        </w:rPr>
      </w:pPr>
      <w:r w:rsidRPr="00BF2BBF">
        <w:rPr>
          <w:rFonts w:ascii="Arial" w:eastAsia="Times New Roman" w:hAnsi="Arial" w:cs="Arial"/>
          <w:b/>
          <w:kern w:val="20"/>
          <w:sz w:val="24"/>
          <w:szCs w:val="24"/>
          <w:lang w:eastAsia="x-none"/>
        </w:rPr>
        <w:tab/>
        <w:t xml:space="preserve">[(1)]  </w:t>
      </w:r>
      <w:r w:rsidRPr="00BF2BBF">
        <w:rPr>
          <w:rFonts w:ascii="Arial" w:eastAsia="Times New Roman" w:hAnsi="Arial" w:cs="Arial"/>
          <w:kern w:val="20"/>
          <w:sz w:val="24"/>
          <w:szCs w:val="24"/>
        </w:rPr>
        <w:t>GSA's System for Award Management (</w:t>
      </w:r>
      <w:r w:rsidRPr="00BF2BBF">
        <w:rPr>
          <w:rFonts w:ascii="Arial" w:eastAsia="Times New Roman" w:hAnsi="Arial" w:cs="Arial"/>
          <w:bCs/>
          <w:kern w:val="20"/>
          <w:sz w:val="24"/>
          <w:szCs w:val="24"/>
        </w:rPr>
        <w:t>SAM</w:t>
      </w:r>
      <w:r w:rsidRPr="00BF2BBF">
        <w:rPr>
          <w:rFonts w:ascii="Arial" w:eastAsia="Times New Roman" w:hAnsi="Arial" w:cs="Arial"/>
          <w:kern w:val="20"/>
          <w:sz w:val="24"/>
          <w:szCs w:val="24"/>
        </w:rPr>
        <w:t>), which is available at</w:t>
      </w:r>
      <w:hyperlink w:history="1"/>
      <w:r w:rsidRPr="00BF2BBF">
        <w:rPr>
          <w:rFonts w:ascii="Arial" w:eastAsia="Times New Roman" w:hAnsi="Arial" w:cs="Arial"/>
          <w:kern w:val="20"/>
          <w:sz w:val="24"/>
          <w:szCs w:val="24"/>
        </w:rPr>
        <w:t xml:space="preserve"> </w:t>
      </w:r>
      <w:hyperlink r:id="rId6" w:history="1">
        <w:r w:rsidRPr="00D13E3D">
          <w:rPr>
            <w:rFonts w:ascii="Arial" w:eastAsia="Times New Roman" w:hAnsi="Arial" w:cs="Arial"/>
            <w:strike/>
            <w:color w:val="0000FF"/>
            <w:kern w:val="20"/>
            <w:sz w:val="24"/>
            <w:szCs w:val="24"/>
            <w:u w:val="single"/>
          </w:rPr>
          <w:t>http://www.acquisition.gov/</w:t>
        </w:r>
      </w:hyperlink>
      <w:r w:rsidR="00F80C82" w:rsidRPr="00D13E3D">
        <w:rPr>
          <w:rFonts w:ascii="Arial" w:eastAsia="Times New Roman" w:hAnsi="Arial" w:cs="Arial"/>
          <w:b/>
          <w:bCs/>
          <w:color w:val="0000FF"/>
          <w:kern w:val="20"/>
          <w:sz w:val="24"/>
          <w:szCs w:val="24"/>
          <w:u w:val="single"/>
        </w:rPr>
        <w:t>[</w:t>
      </w:r>
      <w:r w:rsidR="00F80C82" w:rsidRPr="00D13E3D">
        <w:rPr>
          <w:rFonts w:ascii="Arial" w:eastAsia="Times New Roman" w:hAnsi="Arial" w:cs="Arial"/>
          <w:b/>
          <w:bCs/>
          <w:i/>
          <w:iCs/>
          <w:color w:val="0000FF"/>
          <w:kern w:val="20"/>
          <w:sz w:val="24"/>
          <w:szCs w:val="24"/>
          <w:u w:val="single"/>
        </w:rPr>
        <w:t>https://sam.gov</w:t>
      </w:r>
      <w:r w:rsidR="00F80C82" w:rsidRPr="00D13E3D">
        <w:rPr>
          <w:rFonts w:ascii="Arial" w:eastAsia="Times New Roman" w:hAnsi="Arial" w:cs="Arial"/>
          <w:b/>
          <w:bCs/>
          <w:color w:val="0000FF"/>
          <w:kern w:val="20"/>
          <w:sz w:val="24"/>
          <w:szCs w:val="24"/>
          <w:u w:val="single"/>
        </w:rPr>
        <w:t>]</w:t>
      </w:r>
      <w:r w:rsidRPr="00BF2BBF">
        <w:rPr>
          <w:rFonts w:ascii="Arial" w:eastAsia="Times New Roman" w:hAnsi="Arial" w:cs="Arial"/>
          <w:kern w:val="20"/>
          <w:sz w:val="24"/>
          <w:szCs w:val="24"/>
        </w:rPr>
        <w:t xml:space="preserve">, identifies entities excluded throughout the U.S. Government (unless otherwise noted) from receiving Federal contracts or certain subcontracts and from certain types of Federal financial and non-financial assistance and benefits.  The SAM website provides useful documents and </w:t>
      </w:r>
      <w:r w:rsidRPr="00BF2BBF">
        <w:rPr>
          <w:rFonts w:ascii="Arial" w:eastAsia="Times New Roman" w:hAnsi="Arial" w:cs="Arial"/>
          <w:strike/>
          <w:kern w:val="20"/>
          <w:sz w:val="24"/>
          <w:szCs w:val="24"/>
        </w:rPr>
        <w:t>on-line</w:t>
      </w:r>
      <w:r w:rsidRPr="00BF2BBF">
        <w:rPr>
          <w:rFonts w:ascii="Arial" w:eastAsia="Times New Roman" w:hAnsi="Arial" w:cs="Arial"/>
          <w:b/>
          <w:kern w:val="20"/>
          <w:sz w:val="24"/>
          <w:szCs w:val="24"/>
        </w:rPr>
        <w:t>[online]</w:t>
      </w:r>
      <w:r w:rsidRPr="00BF2BBF">
        <w:rPr>
          <w:rFonts w:ascii="Arial" w:eastAsia="Times New Roman" w:hAnsi="Arial" w:cs="Arial"/>
          <w:kern w:val="20"/>
          <w:sz w:val="24"/>
          <w:szCs w:val="24"/>
        </w:rPr>
        <w:t xml:space="preserve"> training to assist with SAM navigation and data entry.  User Guides and Demonstration Videos can be found in the User Help section after clicking the HELP link at the top of the website homepage.  The former Excluded Parties List System (EPLS) information is within the Performance Information functional area of SAM, and is maintained as “Exclusions” data.  Exclusions are located in the Data Access area of SAM which can be accessed by navigating the following path after logging into the SAM website.  Select Tab – MYSAM, Tab - Data Access, and Tab – Exclusions.</w:t>
      </w:r>
    </w:p>
    <w:p w14:paraId="26C6F561" w14:textId="77777777" w:rsidR="00BF2BBF" w:rsidRPr="00BF2BBF" w:rsidRDefault="00BF2BBF" w:rsidP="00D13E3D">
      <w:pPr>
        <w:tabs>
          <w:tab w:val="left" w:pos="360"/>
          <w:tab w:val="left" w:pos="810"/>
          <w:tab w:val="left" w:pos="1210"/>
          <w:tab w:val="left" w:pos="1656"/>
          <w:tab w:val="left" w:pos="2131"/>
          <w:tab w:val="left" w:pos="2520"/>
        </w:tabs>
        <w:spacing w:after="0" w:line="240" w:lineRule="exact"/>
        <w:rPr>
          <w:rFonts w:ascii="Arial" w:eastAsia="Times New Roman" w:hAnsi="Arial" w:cs="Arial"/>
          <w:kern w:val="20"/>
          <w:sz w:val="24"/>
          <w:szCs w:val="24"/>
        </w:rPr>
      </w:pPr>
    </w:p>
    <w:p w14:paraId="39C05671" w14:textId="77777777" w:rsidR="00BF2BBF" w:rsidRPr="00BF2BBF" w:rsidRDefault="00BF2BBF">
      <w:pPr>
        <w:tabs>
          <w:tab w:val="left" w:pos="360"/>
          <w:tab w:val="left" w:pos="810"/>
          <w:tab w:val="left" w:pos="1210"/>
          <w:tab w:val="left" w:pos="1656"/>
          <w:tab w:val="left" w:pos="2131"/>
          <w:tab w:val="left" w:pos="2520"/>
        </w:tabs>
        <w:spacing w:after="0" w:line="240" w:lineRule="exact"/>
        <w:rPr>
          <w:rFonts w:ascii="Arial" w:eastAsia="Times New Roman" w:hAnsi="Arial" w:cs="Arial"/>
          <w:kern w:val="20"/>
          <w:sz w:val="24"/>
          <w:szCs w:val="24"/>
        </w:rPr>
      </w:pPr>
      <w:r w:rsidRPr="00BF2BBF">
        <w:rPr>
          <w:rFonts w:ascii="Arial" w:eastAsia="Times New Roman" w:hAnsi="Arial" w:cs="Arial"/>
          <w:kern w:val="20"/>
          <w:sz w:val="24"/>
          <w:szCs w:val="24"/>
        </w:rPr>
        <w:tab/>
      </w:r>
      <w:r w:rsidRPr="00BF2BBF">
        <w:rPr>
          <w:rFonts w:ascii="Arial" w:eastAsia="Times New Roman" w:hAnsi="Arial" w:cs="Arial"/>
          <w:kern w:val="20"/>
          <w:sz w:val="24"/>
          <w:szCs w:val="24"/>
        </w:rPr>
        <w:tab/>
        <w:t>(</w:t>
      </w:r>
      <w:r w:rsidRPr="00BF2BBF">
        <w:rPr>
          <w:rFonts w:ascii="Arial" w:eastAsia="Times New Roman" w:hAnsi="Arial" w:cs="Arial"/>
          <w:strike/>
          <w:kern w:val="20"/>
          <w:sz w:val="24"/>
          <w:szCs w:val="24"/>
        </w:rPr>
        <w:t>1</w:t>
      </w:r>
      <w:r w:rsidRPr="00BF2BBF">
        <w:rPr>
          <w:rFonts w:ascii="Arial" w:eastAsia="Times New Roman" w:hAnsi="Arial" w:cs="Arial"/>
          <w:b/>
          <w:kern w:val="20"/>
          <w:sz w:val="24"/>
          <w:szCs w:val="24"/>
        </w:rPr>
        <w:t>[</w:t>
      </w:r>
      <w:proofErr w:type="spellStart"/>
      <w:r w:rsidRPr="00BF2BBF">
        <w:rPr>
          <w:rFonts w:ascii="Arial" w:eastAsia="Times New Roman" w:hAnsi="Arial" w:cs="Arial"/>
          <w:b/>
          <w:kern w:val="20"/>
          <w:sz w:val="24"/>
          <w:szCs w:val="24"/>
        </w:rPr>
        <w:t>i</w:t>
      </w:r>
      <w:proofErr w:type="spellEnd"/>
      <w:r w:rsidRPr="00BF2BBF">
        <w:rPr>
          <w:rFonts w:ascii="Arial" w:eastAsia="Times New Roman" w:hAnsi="Arial" w:cs="Arial"/>
          <w:b/>
          <w:kern w:val="20"/>
          <w:sz w:val="24"/>
          <w:szCs w:val="24"/>
        </w:rPr>
        <w:t>]</w:t>
      </w:r>
      <w:r w:rsidRPr="00BF2BBF">
        <w:rPr>
          <w:rFonts w:ascii="Arial" w:eastAsia="Times New Roman" w:hAnsi="Arial" w:cs="Arial"/>
          <w:kern w:val="20"/>
          <w:sz w:val="24"/>
          <w:szCs w:val="24"/>
        </w:rPr>
        <w:t>)  Multiple agencies have the authority to suspend or debar entities from “doing business” with the Government.  There are approximately 71 separate cause and treatment codes under which entities have been suspended or debarred or excluded.  New exclusion records created in SAM will no longer be identified with cause and treatment codes.  Exclusions will be associated with one of four exclusion types: Preliminarily Ineligible (Proceedings Pending), Ineligible (Proceedings Completed), Prohibition/Restriction, Voluntary Exclusion.  Each cause and treatment code is linked to one exclusion type.</w:t>
      </w:r>
    </w:p>
    <w:p w14:paraId="22C0FC7A" w14:textId="77777777" w:rsidR="00BF2BBF" w:rsidRPr="00BF2BBF" w:rsidRDefault="00BF2BBF" w:rsidP="00D13E3D">
      <w:pPr>
        <w:tabs>
          <w:tab w:val="left" w:pos="360"/>
          <w:tab w:val="left" w:pos="810"/>
          <w:tab w:val="left" w:pos="1210"/>
          <w:tab w:val="left" w:pos="1656"/>
          <w:tab w:val="left" w:pos="2131"/>
          <w:tab w:val="left" w:pos="2520"/>
        </w:tabs>
        <w:spacing w:after="0" w:line="240" w:lineRule="exact"/>
        <w:rPr>
          <w:rFonts w:ascii="Arial" w:eastAsia="Times New Roman" w:hAnsi="Arial" w:cs="Arial"/>
          <w:kern w:val="20"/>
          <w:sz w:val="24"/>
          <w:szCs w:val="24"/>
        </w:rPr>
      </w:pPr>
    </w:p>
    <w:p w14:paraId="60A29C79" w14:textId="5304319E" w:rsidR="00BF2BBF" w:rsidRPr="00BF2BBF" w:rsidRDefault="00BF2BBF" w:rsidP="00D13E3D">
      <w:pPr>
        <w:tabs>
          <w:tab w:val="left" w:pos="360"/>
          <w:tab w:val="left" w:pos="810"/>
          <w:tab w:val="left" w:pos="1210"/>
          <w:tab w:val="left" w:pos="1656"/>
          <w:tab w:val="left" w:pos="2131"/>
          <w:tab w:val="left" w:pos="2520"/>
        </w:tabs>
        <w:spacing w:after="0" w:line="240" w:lineRule="exact"/>
        <w:rPr>
          <w:rFonts w:ascii="Arial" w:eastAsia="Times New Roman" w:hAnsi="Arial" w:cs="Arial"/>
          <w:kern w:val="20"/>
          <w:sz w:val="24"/>
          <w:szCs w:val="24"/>
        </w:rPr>
      </w:pPr>
      <w:r w:rsidRPr="00BF2BBF">
        <w:rPr>
          <w:rFonts w:ascii="Arial" w:eastAsia="Times New Roman" w:hAnsi="Arial" w:cs="Arial"/>
          <w:kern w:val="20"/>
          <w:sz w:val="24"/>
          <w:szCs w:val="24"/>
        </w:rPr>
        <w:tab/>
      </w:r>
      <w:r w:rsidRPr="00BF2BBF">
        <w:rPr>
          <w:rFonts w:ascii="Arial" w:eastAsia="Times New Roman" w:hAnsi="Arial" w:cs="Arial"/>
          <w:kern w:val="20"/>
          <w:sz w:val="24"/>
          <w:szCs w:val="24"/>
        </w:rPr>
        <w:tab/>
        <w:t>(</w:t>
      </w:r>
      <w:r w:rsidRPr="00BF2BBF">
        <w:rPr>
          <w:rFonts w:ascii="Arial" w:eastAsia="Times New Roman" w:hAnsi="Arial" w:cs="Arial"/>
          <w:strike/>
          <w:kern w:val="20"/>
          <w:sz w:val="24"/>
          <w:szCs w:val="24"/>
        </w:rPr>
        <w:t>2</w:t>
      </w:r>
      <w:r w:rsidRPr="00BF2BBF">
        <w:rPr>
          <w:rFonts w:ascii="Arial" w:eastAsia="Times New Roman" w:hAnsi="Arial" w:cs="Arial"/>
          <w:b/>
          <w:kern w:val="20"/>
          <w:sz w:val="24"/>
          <w:szCs w:val="24"/>
        </w:rPr>
        <w:t>[ii]</w:t>
      </w:r>
      <w:r w:rsidRPr="00BF2BBF">
        <w:rPr>
          <w:rFonts w:ascii="Arial" w:eastAsia="Times New Roman" w:hAnsi="Arial" w:cs="Arial"/>
          <w:kern w:val="20"/>
          <w:sz w:val="24"/>
          <w:szCs w:val="24"/>
        </w:rPr>
        <w:t xml:space="preserve">)  </w:t>
      </w:r>
      <w:r w:rsidRPr="00BF2BBF">
        <w:rPr>
          <w:rFonts w:ascii="Arial" w:eastAsia="Times New Roman" w:hAnsi="Arial" w:cs="Arial"/>
          <w:color w:val="000000"/>
          <w:kern w:val="20"/>
          <w:sz w:val="24"/>
          <w:szCs w:val="24"/>
        </w:rPr>
        <w:t xml:space="preserve">The exclusion type advises readers of the nature of the exclusion, debarment, or suspension and how those listed in the </w:t>
      </w:r>
      <w:r w:rsidRPr="00BF2BBF">
        <w:rPr>
          <w:rFonts w:ascii="Arial" w:eastAsia="Times New Roman" w:hAnsi="Arial" w:cs="Arial"/>
          <w:bCs/>
          <w:kern w:val="20"/>
          <w:sz w:val="24"/>
          <w:szCs w:val="24"/>
        </w:rPr>
        <w:t>SAM Exclusions</w:t>
      </w:r>
      <w:r w:rsidRPr="00BF2BBF">
        <w:rPr>
          <w:rFonts w:ascii="Arial" w:eastAsia="Times New Roman" w:hAnsi="Arial" w:cs="Arial"/>
          <w:color w:val="000000"/>
          <w:kern w:val="20"/>
          <w:sz w:val="24"/>
          <w:szCs w:val="24"/>
        </w:rPr>
        <w:t xml:space="preserve"> should be treated. </w:t>
      </w:r>
      <w:r w:rsidR="00F80C82">
        <w:rPr>
          <w:rFonts w:ascii="Arial" w:eastAsia="Times New Roman" w:hAnsi="Arial" w:cs="Arial"/>
          <w:color w:val="000000"/>
          <w:kern w:val="20"/>
          <w:sz w:val="24"/>
          <w:szCs w:val="24"/>
        </w:rPr>
        <w:t xml:space="preserve"> </w:t>
      </w:r>
      <w:r w:rsidRPr="00BF2BBF">
        <w:rPr>
          <w:rFonts w:ascii="Arial" w:eastAsia="Times New Roman" w:hAnsi="Arial" w:cs="Arial"/>
          <w:color w:val="000000"/>
          <w:kern w:val="20"/>
          <w:sz w:val="24"/>
          <w:szCs w:val="24"/>
        </w:rPr>
        <w:t xml:space="preserve">However, the fact that an entity is listed in the </w:t>
      </w:r>
      <w:r w:rsidRPr="00BF2BBF">
        <w:rPr>
          <w:rFonts w:ascii="Arial" w:eastAsia="Times New Roman" w:hAnsi="Arial" w:cs="Arial"/>
          <w:bCs/>
          <w:kern w:val="20"/>
          <w:sz w:val="24"/>
          <w:szCs w:val="24"/>
        </w:rPr>
        <w:t>SAM Exclusions</w:t>
      </w:r>
      <w:r w:rsidRPr="00BF2BBF">
        <w:rPr>
          <w:rFonts w:ascii="Arial" w:eastAsia="Times New Roman" w:hAnsi="Arial" w:cs="Arial"/>
          <w:color w:val="000000"/>
          <w:kern w:val="20"/>
          <w:sz w:val="24"/>
          <w:szCs w:val="24"/>
        </w:rPr>
        <w:t xml:space="preserve"> does not necessarily mean the entity is ineligible for contract award.  Review of the exclusion </w:t>
      </w:r>
      <w:r w:rsidRPr="00BF2BBF">
        <w:rPr>
          <w:rFonts w:ascii="Arial" w:eastAsia="Times New Roman" w:hAnsi="Arial" w:cs="Arial"/>
          <w:color w:val="000000"/>
          <w:kern w:val="20"/>
          <w:sz w:val="24"/>
          <w:szCs w:val="24"/>
        </w:rPr>
        <w:lastRenderedPageBreak/>
        <w:t>type is crucial in ensuring that listed entities are not deprived of their “liberty interest” in conducting business with the Government.</w:t>
      </w:r>
    </w:p>
    <w:p w14:paraId="5959CB16" w14:textId="77777777" w:rsidR="00BF2BBF" w:rsidRPr="00BF2BBF" w:rsidRDefault="00BF2BBF" w:rsidP="00D13E3D">
      <w:pPr>
        <w:tabs>
          <w:tab w:val="left" w:pos="360"/>
          <w:tab w:val="left" w:pos="810"/>
          <w:tab w:val="left" w:pos="1210"/>
          <w:tab w:val="left" w:pos="1656"/>
          <w:tab w:val="left" w:pos="2131"/>
          <w:tab w:val="left" w:pos="2520"/>
        </w:tabs>
        <w:spacing w:after="0" w:line="240" w:lineRule="exact"/>
        <w:rPr>
          <w:rFonts w:ascii="Arial" w:eastAsia="Times New Roman" w:hAnsi="Arial" w:cs="Arial"/>
          <w:spacing w:val="-5"/>
          <w:kern w:val="20"/>
          <w:sz w:val="24"/>
          <w:szCs w:val="24"/>
        </w:rPr>
      </w:pPr>
    </w:p>
    <w:p w14:paraId="64D0F1DE" w14:textId="489260FC" w:rsidR="00BF2BBF" w:rsidRPr="00BF2BBF" w:rsidRDefault="00B64C9C" w:rsidP="00D13E3D">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Cs/>
          <w:color w:val="000000"/>
          <w:sz w:val="24"/>
          <w:szCs w:val="24"/>
        </w:rPr>
      </w:pPr>
      <w:r>
        <w:rPr>
          <w:rFonts w:ascii="Arial" w:hAnsi="Arial" w:cs="Arial"/>
          <w:b/>
          <w:color w:val="000000"/>
          <w:sz w:val="24"/>
          <w:szCs w:val="24"/>
        </w:rPr>
        <w:tab/>
      </w:r>
      <w:r w:rsidR="00BF2BBF" w:rsidRPr="00BF2BBF">
        <w:rPr>
          <w:rFonts w:ascii="Arial" w:hAnsi="Arial" w:cs="Arial"/>
          <w:b/>
          <w:color w:val="000000"/>
          <w:sz w:val="24"/>
          <w:szCs w:val="24"/>
        </w:rPr>
        <w:tab/>
      </w:r>
      <w:r w:rsidR="00BF2BBF" w:rsidRPr="00BF2BBF">
        <w:rPr>
          <w:rFonts w:ascii="Arial" w:hAnsi="Arial" w:cs="Arial"/>
          <w:color w:val="000000"/>
          <w:sz w:val="24"/>
          <w:szCs w:val="24"/>
        </w:rPr>
        <w:t>(</w:t>
      </w:r>
      <w:r w:rsidR="00BF2BBF" w:rsidRPr="00BF2BBF">
        <w:rPr>
          <w:rFonts w:ascii="Arial" w:hAnsi="Arial" w:cs="Arial"/>
          <w:strike/>
          <w:color w:val="000000"/>
          <w:sz w:val="24"/>
          <w:szCs w:val="24"/>
        </w:rPr>
        <w:t>3</w:t>
      </w:r>
      <w:r w:rsidR="00BF2BBF" w:rsidRPr="00BF2BBF">
        <w:rPr>
          <w:rFonts w:ascii="Arial" w:hAnsi="Arial" w:cs="Arial"/>
          <w:b/>
          <w:color w:val="000000"/>
          <w:sz w:val="24"/>
          <w:szCs w:val="24"/>
        </w:rPr>
        <w:t>[iii]</w:t>
      </w:r>
      <w:r w:rsidR="00BF2BBF" w:rsidRPr="00BF2BBF">
        <w:rPr>
          <w:rFonts w:ascii="Arial" w:hAnsi="Arial" w:cs="Arial"/>
          <w:color w:val="000000"/>
          <w:sz w:val="24"/>
          <w:szCs w:val="24"/>
        </w:rPr>
        <w:t xml:space="preserve">) </w:t>
      </w:r>
      <w:r w:rsidR="00F80C82">
        <w:rPr>
          <w:rFonts w:ascii="Arial" w:hAnsi="Arial" w:cs="Arial"/>
          <w:color w:val="000000"/>
          <w:sz w:val="24"/>
          <w:szCs w:val="24"/>
        </w:rPr>
        <w:t xml:space="preserve"> </w:t>
      </w:r>
      <w:r w:rsidR="00BF2BBF" w:rsidRPr="00BF2BBF">
        <w:rPr>
          <w:rFonts w:ascii="Arial" w:hAnsi="Arial" w:cs="Arial"/>
          <w:color w:val="000000"/>
          <w:sz w:val="24"/>
          <w:szCs w:val="24"/>
        </w:rPr>
        <w:t xml:space="preserve">When the Department of Justice Bureau of Justice Assistance debars individuals under 10 U.S.C. 2408, they are placed in the </w:t>
      </w:r>
      <w:r w:rsidR="00BF2BBF" w:rsidRPr="00BF2BBF">
        <w:rPr>
          <w:rFonts w:ascii="Arial" w:hAnsi="Arial" w:cs="Arial"/>
          <w:bCs/>
          <w:color w:val="000000"/>
          <w:sz w:val="24"/>
          <w:szCs w:val="24"/>
        </w:rPr>
        <w:t>SAM Exclusions</w:t>
      </w:r>
      <w:r w:rsidR="00BF2BBF" w:rsidRPr="00BF2BBF">
        <w:rPr>
          <w:rFonts w:ascii="Arial" w:hAnsi="Arial" w:cs="Arial"/>
          <w:color w:val="000000"/>
          <w:sz w:val="24"/>
          <w:szCs w:val="24"/>
        </w:rPr>
        <w:t xml:space="preserve"> under cause and treatment code FF (Reciprocal), which is now linked to exclusion type, Ineligible (Proceedings Completed).  The records for individuals currently entered into EPLS and listed under this cause and treatment code can be found in the </w:t>
      </w:r>
      <w:r w:rsidR="00BF2BBF" w:rsidRPr="00BF2BBF">
        <w:rPr>
          <w:rFonts w:ascii="Arial" w:hAnsi="Arial" w:cs="Arial"/>
          <w:bCs/>
          <w:color w:val="000000"/>
          <w:sz w:val="24"/>
          <w:szCs w:val="24"/>
        </w:rPr>
        <w:t>SAM Exclusions.  Records created in EPLS have both a cause and treatment code and an exclusion type listed.</w:t>
      </w:r>
    </w:p>
    <w:p w14:paraId="3EDBBA8C" w14:textId="77777777" w:rsidR="00BF2BBF" w:rsidRPr="00BF2BBF" w:rsidRDefault="00BF2BBF" w:rsidP="00D13E3D">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color w:val="000000"/>
          <w:sz w:val="24"/>
          <w:szCs w:val="24"/>
        </w:rPr>
      </w:pPr>
    </w:p>
    <w:p w14:paraId="0E907217" w14:textId="71C04184" w:rsidR="00BF2BBF" w:rsidRPr="00BF2BBF" w:rsidRDefault="00BF2BBF" w:rsidP="00D13E3D">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sz w:val="24"/>
        </w:rPr>
      </w:pPr>
      <w:r w:rsidRPr="00BF2BBF">
        <w:rPr>
          <w:rFonts w:ascii="Arial" w:hAnsi="Arial" w:cs="Arial"/>
          <w:bCs/>
          <w:color w:val="000000"/>
          <w:sz w:val="24"/>
          <w:szCs w:val="24"/>
        </w:rPr>
        <w:tab/>
      </w:r>
      <w:r w:rsidRPr="00BF2BBF">
        <w:rPr>
          <w:rFonts w:ascii="Arial" w:hAnsi="Arial" w:cs="Arial"/>
          <w:b/>
          <w:bCs/>
          <w:color w:val="000000"/>
          <w:sz w:val="24"/>
          <w:szCs w:val="24"/>
        </w:rPr>
        <w:t>[</w:t>
      </w:r>
      <w:r w:rsidR="00A3082E">
        <w:rPr>
          <w:rFonts w:ascii="Arial" w:hAnsi="Arial" w:cs="Arial"/>
          <w:b/>
          <w:bCs/>
          <w:color w:val="000000"/>
          <w:sz w:val="24"/>
          <w:szCs w:val="24"/>
        </w:rPr>
        <w:t>(</w:t>
      </w:r>
      <w:r w:rsidRPr="00BF2BBF">
        <w:rPr>
          <w:rFonts w:ascii="Arial" w:hAnsi="Arial" w:cs="Arial"/>
          <w:b/>
          <w:bCs/>
          <w:color w:val="000000"/>
          <w:sz w:val="24"/>
          <w:szCs w:val="24"/>
        </w:rPr>
        <w:t>2</w:t>
      </w:r>
      <w:r w:rsidR="00A3082E">
        <w:rPr>
          <w:rFonts w:ascii="Arial" w:hAnsi="Arial" w:cs="Arial"/>
          <w:b/>
          <w:bCs/>
          <w:color w:val="000000"/>
          <w:sz w:val="24"/>
          <w:szCs w:val="24"/>
        </w:rPr>
        <w:t>)</w:t>
      </w:r>
      <w:r w:rsidRPr="00BF2BBF">
        <w:rPr>
          <w:rFonts w:ascii="Arial" w:hAnsi="Arial" w:cs="Arial"/>
          <w:b/>
          <w:bCs/>
          <w:color w:val="000000"/>
          <w:sz w:val="24"/>
          <w:szCs w:val="24"/>
        </w:rPr>
        <w:t xml:space="preserve">  </w:t>
      </w:r>
      <w:r w:rsidRPr="00BF2BBF">
        <w:rPr>
          <w:rFonts w:ascii="Arial" w:hAnsi="Arial" w:cs="Arial"/>
          <w:b/>
          <w:sz w:val="24"/>
        </w:rPr>
        <w:t xml:space="preserve">The contracting officer shall consider the information available in </w:t>
      </w:r>
      <w:r w:rsidR="00F80C82">
        <w:rPr>
          <w:rFonts w:ascii="Arial" w:hAnsi="Arial" w:cs="Arial"/>
          <w:b/>
          <w:sz w:val="24"/>
        </w:rPr>
        <w:t xml:space="preserve">the </w:t>
      </w:r>
      <w:r w:rsidRPr="00BF2BBF">
        <w:rPr>
          <w:rFonts w:ascii="Arial" w:hAnsi="Arial" w:cs="Arial"/>
          <w:b/>
          <w:sz w:val="24"/>
        </w:rPr>
        <w:t xml:space="preserve">Supplier Performance Risk System during </w:t>
      </w:r>
      <w:r w:rsidR="00F80C82">
        <w:rPr>
          <w:rFonts w:ascii="Arial" w:hAnsi="Arial" w:cs="Arial"/>
          <w:b/>
          <w:sz w:val="24"/>
        </w:rPr>
        <w:t xml:space="preserve">the </w:t>
      </w:r>
      <w:r w:rsidRPr="00BF2BBF">
        <w:rPr>
          <w:rFonts w:ascii="Arial" w:hAnsi="Arial" w:cs="Arial"/>
          <w:b/>
          <w:sz w:val="24"/>
        </w:rPr>
        <w:t xml:space="preserve">evaluation of </w:t>
      </w:r>
      <w:r w:rsidR="00BE0FA7">
        <w:rPr>
          <w:rFonts w:ascii="Arial" w:hAnsi="Arial" w:cs="Arial"/>
          <w:b/>
          <w:sz w:val="24"/>
        </w:rPr>
        <w:t xml:space="preserve">quotations and </w:t>
      </w:r>
      <w:r w:rsidRPr="00BF2BBF">
        <w:rPr>
          <w:rFonts w:ascii="Arial" w:hAnsi="Arial" w:cs="Arial"/>
          <w:b/>
          <w:sz w:val="24"/>
        </w:rPr>
        <w:t xml:space="preserve">offers received in response to </w:t>
      </w:r>
      <w:r w:rsidR="00F80C82">
        <w:rPr>
          <w:rFonts w:ascii="Arial" w:hAnsi="Arial" w:cs="Arial"/>
          <w:b/>
          <w:sz w:val="24"/>
        </w:rPr>
        <w:t xml:space="preserve">a </w:t>
      </w:r>
      <w:r w:rsidRPr="00BF2BBF">
        <w:rPr>
          <w:rFonts w:ascii="Arial" w:hAnsi="Arial" w:cs="Arial"/>
          <w:b/>
          <w:sz w:val="24"/>
        </w:rPr>
        <w:t xml:space="preserve">solicitation and in </w:t>
      </w:r>
      <w:r w:rsidR="00535CC3">
        <w:rPr>
          <w:rFonts w:ascii="Arial" w:hAnsi="Arial" w:cs="Arial"/>
          <w:b/>
          <w:sz w:val="24"/>
        </w:rPr>
        <w:t xml:space="preserve">the </w:t>
      </w:r>
      <w:r w:rsidRPr="00BF2BBF">
        <w:rPr>
          <w:rFonts w:ascii="Arial" w:hAnsi="Arial" w:cs="Arial"/>
          <w:b/>
          <w:sz w:val="24"/>
        </w:rPr>
        <w:t>determination of the contractor</w:t>
      </w:r>
      <w:r w:rsidR="00535CC3">
        <w:rPr>
          <w:rFonts w:ascii="Arial" w:hAnsi="Arial" w:cs="Arial"/>
          <w:b/>
          <w:sz w:val="24"/>
        </w:rPr>
        <w:t>’s</w:t>
      </w:r>
      <w:r w:rsidRPr="00BF2BBF">
        <w:rPr>
          <w:rFonts w:ascii="Arial" w:hAnsi="Arial" w:cs="Arial"/>
          <w:b/>
          <w:sz w:val="24"/>
        </w:rPr>
        <w:t xml:space="preserve"> responsibility.  In addition, the contracting officer shall document the contract file </w:t>
      </w:r>
      <w:r w:rsidR="00535CC3">
        <w:rPr>
          <w:rFonts w:ascii="Arial" w:hAnsi="Arial" w:cs="Arial"/>
          <w:b/>
          <w:sz w:val="24"/>
        </w:rPr>
        <w:t xml:space="preserve">regarding </w:t>
      </w:r>
      <w:r w:rsidRPr="00BF2BBF">
        <w:rPr>
          <w:rFonts w:ascii="Arial" w:hAnsi="Arial" w:cs="Arial"/>
          <w:b/>
          <w:sz w:val="24"/>
        </w:rPr>
        <w:t xml:space="preserve">any action taken as a result of information obtained from </w:t>
      </w:r>
      <w:r w:rsidR="00535CC3">
        <w:rPr>
          <w:rFonts w:ascii="Arial" w:hAnsi="Arial" w:cs="Arial"/>
          <w:b/>
          <w:sz w:val="24"/>
        </w:rPr>
        <w:t xml:space="preserve">the </w:t>
      </w:r>
      <w:r w:rsidRPr="00BF2BBF">
        <w:rPr>
          <w:rFonts w:ascii="Arial" w:hAnsi="Arial" w:cs="Arial"/>
          <w:b/>
          <w:sz w:val="24"/>
        </w:rPr>
        <w:t>S</w:t>
      </w:r>
      <w:r w:rsidR="00535CC3">
        <w:rPr>
          <w:rFonts w:ascii="Arial" w:hAnsi="Arial" w:cs="Arial"/>
          <w:b/>
          <w:sz w:val="24"/>
        </w:rPr>
        <w:t xml:space="preserve">upplier </w:t>
      </w:r>
      <w:r w:rsidRPr="00BF2BBF">
        <w:rPr>
          <w:rFonts w:ascii="Arial" w:hAnsi="Arial" w:cs="Arial"/>
          <w:b/>
          <w:sz w:val="24"/>
        </w:rPr>
        <w:t>P</w:t>
      </w:r>
      <w:r w:rsidR="00535CC3">
        <w:rPr>
          <w:rFonts w:ascii="Arial" w:hAnsi="Arial" w:cs="Arial"/>
          <w:b/>
          <w:sz w:val="24"/>
        </w:rPr>
        <w:t xml:space="preserve">erformance </w:t>
      </w:r>
      <w:r w:rsidRPr="00BF2BBF">
        <w:rPr>
          <w:rFonts w:ascii="Arial" w:hAnsi="Arial" w:cs="Arial"/>
          <w:b/>
          <w:sz w:val="24"/>
        </w:rPr>
        <w:t>R</w:t>
      </w:r>
      <w:r w:rsidR="00535CC3">
        <w:rPr>
          <w:rFonts w:ascii="Arial" w:hAnsi="Arial" w:cs="Arial"/>
          <w:b/>
          <w:sz w:val="24"/>
        </w:rPr>
        <w:t xml:space="preserve">isk </w:t>
      </w:r>
      <w:r w:rsidRPr="00BF2BBF">
        <w:rPr>
          <w:rFonts w:ascii="Arial" w:hAnsi="Arial" w:cs="Arial"/>
          <w:b/>
          <w:sz w:val="24"/>
        </w:rPr>
        <w:t>S</w:t>
      </w:r>
      <w:r w:rsidR="00535CC3">
        <w:rPr>
          <w:rFonts w:ascii="Arial" w:hAnsi="Arial" w:cs="Arial"/>
          <w:b/>
          <w:sz w:val="24"/>
        </w:rPr>
        <w:t>ystem</w:t>
      </w:r>
      <w:r w:rsidR="005E207B">
        <w:rPr>
          <w:rFonts w:ascii="Arial" w:hAnsi="Arial" w:cs="Arial"/>
          <w:b/>
          <w:sz w:val="24"/>
        </w:rPr>
        <w:t>.</w:t>
      </w:r>
      <w:r w:rsidRPr="00BF2BBF">
        <w:rPr>
          <w:rFonts w:ascii="Arial" w:hAnsi="Arial" w:cs="Arial"/>
          <w:b/>
          <w:sz w:val="24"/>
        </w:rPr>
        <w:t>]</w:t>
      </w:r>
    </w:p>
    <w:p w14:paraId="56759F0A" w14:textId="77777777" w:rsidR="00BF2BBF" w:rsidRPr="00BF2BBF" w:rsidRDefault="00BF2BBF" w:rsidP="00D13E3D">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b/>
          <w:sz w:val="24"/>
        </w:rPr>
      </w:pPr>
    </w:p>
    <w:p w14:paraId="796335CB" w14:textId="77777777" w:rsidR="00BF2BBF" w:rsidRPr="00BF2BBF" w:rsidRDefault="00BF2BBF" w:rsidP="00D13E3D">
      <w:pPr>
        <w:tabs>
          <w:tab w:val="left" w:pos="360"/>
          <w:tab w:val="left" w:pos="806"/>
          <w:tab w:val="left" w:pos="1210"/>
          <w:tab w:val="left" w:pos="1656"/>
          <w:tab w:val="left" w:pos="2131"/>
          <w:tab w:val="left" w:pos="2520"/>
        </w:tabs>
        <w:autoSpaceDE w:val="0"/>
        <w:autoSpaceDN w:val="0"/>
        <w:adjustRightInd w:val="0"/>
        <w:spacing w:after="0" w:line="240" w:lineRule="exact"/>
        <w:contextualSpacing/>
        <w:rPr>
          <w:rFonts w:ascii="Arial" w:hAnsi="Arial" w:cs="Arial"/>
          <w:b/>
          <w:bCs/>
          <w:color w:val="000000"/>
          <w:sz w:val="24"/>
          <w:szCs w:val="24"/>
        </w:rPr>
      </w:pPr>
      <w:r w:rsidRPr="00BF2BBF">
        <w:rPr>
          <w:rFonts w:ascii="Arial" w:hAnsi="Arial" w:cs="Arial"/>
          <w:b/>
          <w:bCs/>
          <w:color w:val="000000"/>
          <w:sz w:val="24"/>
          <w:szCs w:val="24"/>
        </w:rPr>
        <w:t>* * * * *</w:t>
      </w:r>
    </w:p>
    <w:p w14:paraId="6E13B3EA" w14:textId="77777777" w:rsidR="00BF2BBF" w:rsidRPr="000B4FF0" w:rsidRDefault="00BF2BBF" w:rsidP="00D13E3D">
      <w:pPr>
        <w:tabs>
          <w:tab w:val="left" w:pos="360"/>
          <w:tab w:val="left" w:pos="806"/>
          <w:tab w:val="left" w:pos="1210"/>
          <w:tab w:val="left" w:pos="1656"/>
          <w:tab w:val="left" w:pos="2131"/>
          <w:tab w:val="left" w:pos="2520"/>
        </w:tabs>
        <w:autoSpaceDE w:val="0"/>
        <w:autoSpaceDN w:val="0"/>
        <w:adjustRightInd w:val="0"/>
        <w:spacing w:after="0" w:line="240" w:lineRule="exact"/>
        <w:rPr>
          <w:rFonts w:ascii="Arial" w:hAnsi="Arial" w:cs="Arial"/>
          <w:sz w:val="24"/>
          <w:szCs w:val="24"/>
        </w:rPr>
      </w:pPr>
    </w:p>
    <w:sectPr w:rsidR="00BF2BBF" w:rsidRPr="000B4FF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3039" w14:textId="77777777" w:rsidR="00BF2BBF" w:rsidRDefault="00BF2BBF" w:rsidP="00BF2BBF">
      <w:pPr>
        <w:spacing w:after="0" w:line="240" w:lineRule="auto"/>
      </w:pPr>
      <w:r>
        <w:separator/>
      </w:r>
    </w:p>
  </w:endnote>
  <w:endnote w:type="continuationSeparator" w:id="0">
    <w:p w14:paraId="3B1F2ECB" w14:textId="77777777" w:rsidR="00BF2BBF" w:rsidRDefault="00BF2BBF" w:rsidP="00BF2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2E5C6" w14:textId="77777777" w:rsidR="00BF2BBF" w:rsidRPr="00BF2BBF" w:rsidRDefault="00BF2BBF" w:rsidP="00BF2BBF">
    <w:pPr>
      <w:tabs>
        <w:tab w:val="center" w:pos="4680"/>
        <w:tab w:val="right" w:pos="9360"/>
      </w:tabs>
      <w:spacing w:after="0" w:line="240" w:lineRule="auto"/>
      <w:jc w:val="center"/>
      <w:rPr>
        <w:rFonts w:ascii="Century Schoolbook" w:eastAsia="Times New Roman" w:hAnsi="Century Schoolbook" w:cs="Times New Roman"/>
        <w:sz w:val="24"/>
        <w:szCs w:val="24"/>
      </w:rPr>
    </w:pPr>
    <w:r w:rsidRPr="00BF2BBF">
      <w:rPr>
        <w:rFonts w:ascii="Century Schoolbook" w:eastAsia="Times New Roman" w:hAnsi="Century Schoolbook" w:cs="Courier New"/>
        <w:sz w:val="24"/>
        <w:szCs w:val="24"/>
      </w:rPr>
      <w:t xml:space="preserve">Page </w:t>
    </w:r>
    <w:r w:rsidRPr="00BF2BBF">
      <w:rPr>
        <w:rFonts w:ascii="Century Schoolbook" w:eastAsia="Times New Roman" w:hAnsi="Century Schoolbook" w:cs="Courier New"/>
        <w:sz w:val="24"/>
        <w:szCs w:val="24"/>
      </w:rPr>
      <w:fldChar w:fldCharType="begin"/>
    </w:r>
    <w:r w:rsidRPr="00BF2BBF">
      <w:rPr>
        <w:rFonts w:ascii="Century Schoolbook" w:eastAsia="Times New Roman" w:hAnsi="Century Schoolbook" w:cs="Courier New"/>
        <w:sz w:val="24"/>
        <w:szCs w:val="24"/>
      </w:rPr>
      <w:instrText xml:space="preserve"> PAGE </w:instrText>
    </w:r>
    <w:r w:rsidRPr="00BF2BBF">
      <w:rPr>
        <w:rFonts w:ascii="Century Schoolbook" w:eastAsia="Times New Roman" w:hAnsi="Century Schoolbook" w:cs="Courier New"/>
        <w:sz w:val="24"/>
        <w:szCs w:val="24"/>
      </w:rPr>
      <w:fldChar w:fldCharType="separate"/>
    </w:r>
    <w:r w:rsidR="001D701C">
      <w:rPr>
        <w:rFonts w:ascii="Century Schoolbook" w:eastAsia="Times New Roman" w:hAnsi="Century Schoolbook" w:cs="Courier New"/>
        <w:noProof/>
        <w:sz w:val="24"/>
        <w:szCs w:val="24"/>
      </w:rPr>
      <w:t>1</w:t>
    </w:r>
    <w:r w:rsidRPr="00BF2BBF">
      <w:rPr>
        <w:rFonts w:ascii="Century Schoolbook" w:eastAsia="Times New Roman" w:hAnsi="Century Schoolbook" w:cs="Courier New"/>
        <w:sz w:val="24"/>
        <w:szCs w:val="24"/>
      </w:rPr>
      <w:fldChar w:fldCharType="end"/>
    </w:r>
    <w:r w:rsidRPr="00BF2BBF">
      <w:rPr>
        <w:rFonts w:ascii="Century Schoolbook" w:eastAsia="Times New Roman" w:hAnsi="Century Schoolbook" w:cs="Courier New"/>
        <w:sz w:val="24"/>
        <w:szCs w:val="24"/>
      </w:rPr>
      <w:t xml:space="preserve"> of </w:t>
    </w:r>
    <w:r w:rsidRPr="00BF2BBF">
      <w:rPr>
        <w:rFonts w:ascii="Century Schoolbook" w:eastAsia="Times New Roman" w:hAnsi="Century Schoolbook" w:cs="Courier New"/>
        <w:sz w:val="24"/>
        <w:szCs w:val="24"/>
      </w:rPr>
      <w:fldChar w:fldCharType="begin"/>
    </w:r>
    <w:r w:rsidRPr="00BF2BBF">
      <w:rPr>
        <w:rFonts w:ascii="Century Schoolbook" w:eastAsia="Times New Roman" w:hAnsi="Century Schoolbook" w:cs="Courier New"/>
        <w:sz w:val="24"/>
        <w:szCs w:val="24"/>
      </w:rPr>
      <w:instrText xml:space="preserve"> NUMPAGES  </w:instrText>
    </w:r>
    <w:r w:rsidRPr="00BF2BBF">
      <w:rPr>
        <w:rFonts w:ascii="Century Schoolbook" w:eastAsia="Times New Roman" w:hAnsi="Century Schoolbook" w:cs="Courier New"/>
        <w:sz w:val="24"/>
        <w:szCs w:val="24"/>
      </w:rPr>
      <w:fldChar w:fldCharType="separate"/>
    </w:r>
    <w:r w:rsidR="001D701C">
      <w:rPr>
        <w:rFonts w:ascii="Century Schoolbook" w:eastAsia="Times New Roman" w:hAnsi="Century Schoolbook" w:cs="Courier New"/>
        <w:noProof/>
        <w:sz w:val="24"/>
        <w:szCs w:val="24"/>
      </w:rPr>
      <w:t>3</w:t>
    </w:r>
    <w:r w:rsidRPr="00BF2BBF">
      <w:rPr>
        <w:rFonts w:ascii="Century Schoolbook" w:eastAsia="Times New Roman" w:hAnsi="Century Schoolbook" w:cs="Courier New"/>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BF61" w14:textId="77777777" w:rsidR="00BF2BBF" w:rsidRDefault="00BF2BBF" w:rsidP="00BF2BBF">
      <w:pPr>
        <w:spacing w:after="0" w:line="240" w:lineRule="auto"/>
      </w:pPr>
      <w:r>
        <w:separator/>
      </w:r>
    </w:p>
  </w:footnote>
  <w:footnote w:type="continuationSeparator" w:id="0">
    <w:p w14:paraId="13029995" w14:textId="77777777" w:rsidR="00BF2BBF" w:rsidRDefault="00BF2BBF" w:rsidP="00BF2B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FF0"/>
    <w:rsid w:val="0008122D"/>
    <w:rsid w:val="000B4FF0"/>
    <w:rsid w:val="00185615"/>
    <w:rsid w:val="001D701C"/>
    <w:rsid w:val="00297AA0"/>
    <w:rsid w:val="002D7CA6"/>
    <w:rsid w:val="0037487B"/>
    <w:rsid w:val="003A709E"/>
    <w:rsid w:val="0046778D"/>
    <w:rsid w:val="00497F63"/>
    <w:rsid w:val="00535CC3"/>
    <w:rsid w:val="0055660E"/>
    <w:rsid w:val="005B74E6"/>
    <w:rsid w:val="005D248C"/>
    <w:rsid w:val="005E207B"/>
    <w:rsid w:val="00607098"/>
    <w:rsid w:val="0063590F"/>
    <w:rsid w:val="006843C5"/>
    <w:rsid w:val="006848DB"/>
    <w:rsid w:val="006B12C7"/>
    <w:rsid w:val="006B23E9"/>
    <w:rsid w:val="006D7FC7"/>
    <w:rsid w:val="007F78D9"/>
    <w:rsid w:val="00822DEC"/>
    <w:rsid w:val="00831F56"/>
    <w:rsid w:val="00836889"/>
    <w:rsid w:val="00840A64"/>
    <w:rsid w:val="009A398D"/>
    <w:rsid w:val="009D27C3"/>
    <w:rsid w:val="00A3082E"/>
    <w:rsid w:val="00A93951"/>
    <w:rsid w:val="00AD3BF9"/>
    <w:rsid w:val="00AE2A22"/>
    <w:rsid w:val="00B64C9C"/>
    <w:rsid w:val="00BE0FA7"/>
    <w:rsid w:val="00BF2BBF"/>
    <w:rsid w:val="00C16CAA"/>
    <w:rsid w:val="00C20594"/>
    <w:rsid w:val="00C829EE"/>
    <w:rsid w:val="00CF3A6B"/>
    <w:rsid w:val="00D06D38"/>
    <w:rsid w:val="00D13E3D"/>
    <w:rsid w:val="00D72469"/>
    <w:rsid w:val="00D7516F"/>
    <w:rsid w:val="00E14C45"/>
    <w:rsid w:val="00E66BD4"/>
    <w:rsid w:val="00E971EC"/>
    <w:rsid w:val="00EF3116"/>
    <w:rsid w:val="00F72261"/>
    <w:rsid w:val="00F80C82"/>
    <w:rsid w:val="00FA0119"/>
    <w:rsid w:val="00FF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09829DD"/>
  <w15:chartTrackingRefBased/>
  <w15:docId w15:val="{EBE7749D-F967-4DA9-89CC-244F4B8C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FF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0B4FF0"/>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0B4FF0"/>
    <w:rPr>
      <w:rFonts w:ascii="Century Schoolbook" w:eastAsia="Times New Roman" w:hAnsi="Century Schoolbook" w:cs="Times New Roman"/>
      <w:spacing w:val="-5"/>
      <w:kern w:val="20"/>
      <w:sz w:val="24"/>
      <w:szCs w:val="20"/>
    </w:rPr>
  </w:style>
  <w:style w:type="paragraph" w:customStyle="1" w:styleId="dfars0">
    <w:name w:val="dfars"/>
    <w:basedOn w:val="Normal"/>
    <w:rsid w:val="000B4FF0"/>
    <w:pPr>
      <w:spacing w:before="100" w:beforeAutospacing="1" w:after="100" w:afterAutospacing="1" w:line="240" w:lineRule="atLeast"/>
    </w:pPr>
    <w:rPr>
      <w:rFonts w:ascii="Century Schoolbook" w:eastAsia="Times New Roman" w:hAnsi="Century Schoolbook" w:cs="Times New Roman"/>
      <w:spacing w:val="-5"/>
      <w:sz w:val="24"/>
      <w:szCs w:val="24"/>
    </w:rPr>
  </w:style>
  <w:style w:type="character" w:styleId="Hyperlink">
    <w:name w:val="Hyperlink"/>
    <w:rsid w:val="000B4FF0"/>
    <w:rPr>
      <w:color w:val="0000FF"/>
      <w:u w:val="single"/>
    </w:rPr>
  </w:style>
  <w:style w:type="paragraph" w:styleId="ListParagraph">
    <w:name w:val="List Paragraph"/>
    <w:basedOn w:val="Normal"/>
    <w:uiPriority w:val="34"/>
    <w:qFormat/>
    <w:rsid w:val="000B4FF0"/>
    <w:pPr>
      <w:ind w:left="720"/>
      <w:contextualSpacing/>
    </w:pPr>
  </w:style>
  <w:style w:type="paragraph" w:customStyle="1" w:styleId="Default">
    <w:name w:val="Default"/>
    <w:rsid w:val="000B4FF0"/>
    <w:pPr>
      <w:autoSpaceDE w:val="0"/>
      <w:autoSpaceDN w:val="0"/>
      <w:adjustRightInd w:val="0"/>
      <w:spacing w:after="0" w:line="240" w:lineRule="auto"/>
    </w:pPr>
    <w:rPr>
      <w:rFonts w:ascii="Arial" w:hAnsi="Arial" w:cs="Arial"/>
      <w:color w:val="000000"/>
      <w:sz w:val="24"/>
      <w:szCs w:val="24"/>
    </w:rPr>
  </w:style>
  <w:style w:type="paragraph" w:styleId="PlainText">
    <w:name w:val="Plain Text"/>
    <w:basedOn w:val="Normal"/>
    <w:link w:val="PlainTextChar"/>
    <w:uiPriority w:val="99"/>
    <w:semiHidden/>
    <w:unhideWhenUsed/>
    <w:rsid w:val="000B4FF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0B4FF0"/>
    <w:rPr>
      <w:rFonts w:ascii="Calibri" w:hAnsi="Calibri"/>
      <w:szCs w:val="21"/>
    </w:rPr>
  </w:style>
  <w:style w:type="paragraph" w:styleId="Header">
    <w:name w:val="header"/>
    <w:basedOn w:val="Normal"/>
    <w:link w:val="HeaderChar"/>
    <w:uiPriority w:val="99"/>
    <w:unhideWhenUsed/>
    <w:rsid w:val="00BF2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BBF"/>
  </w:style>
  <w:style w:type="paragraph" w:styleId="Footer">
    <w:name w:val="footer"/>
    <w:basedOn w:val="Normal"/>
    <w:link w:val="FooterChar"/>
    <w:uiPriority w:val="99"/>
    <w:unhideWhenUsed/>
    <w:rsid w:val="00BF2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BBF"/>
  </w:style>
  <w:style w:type="paragraph" w:styleId="BalloonText">
    <w:name w:val="Balloon Text"/>
    <w:basedOn w:val="Normal"/>
    <w:link w:val="BalloonTextChar"/>
    <w:uiPriority w:val="99"/>
    <w:semiHidden/>
    <w:unhideWhenUsed/>
    <w:rsid w:val="00BF2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BBF"/>
    <w:rPr>
      <w:rFonts w:ascii="Segoe UI" w:hAnsi="Segoe UI" w:cs="Segoe UI"/>
      <w:sz w:val="18"/>
      <w:szCs w:val="18"/>
    </w:rPr>
  </w:style>
  <w:style w:type="character" w:styleId="CommentReference">
    <w:name w:val="annotation reference"/>
    <w:basedOn w:val="DefaultParagraphFont"/>
    <w:uiPriority w:val="99"/>
    <w:semiHidden/>
    <w:unhideWhenUsed/>
    <w:rsid w:val="00BF2BBF"/>
    <w:rPr>
      <w:sz w:val="16"/>
      <w:szCs w:val="16"/>
    </w:rPr>
  </w:style>
  <w:style w:type="paragraph" w:styleId="CommentText">
    <w:name w:val="annotation text"/>
    <w:basedOn w:val="Normal"/>
    <w:link w:val="CommentTextChar"/>
    <w:uiPriority w:val="99"/>
    <w:semiHidden/>
    <w:unhideWhenUsed/>
    <w:rsid w:val="00BF2BBF"/>
    <w:pPr>
      <w:spacing w:line="240" w:lineRule="auto"/>
    </w:pPr>
    <w:rPr>
      <w:sz w:val="20"/>
      <w:szCs w:val="20"/>
    </w:rPr>
  </w:style>
  <w:style w:type="character" w:customStyle="1" w:styleId="CommentTextChar">
    <w:name w:val="Comment Text Char"/>
    <w:basedOn w:val="DefaultParagraphFont"/>
    <w:link w:val="CommentText"/>
    <w:uiPriority w:val="99"/>
    <w:semiHidden/>
    <w:rsid w:val="00BF2BBF"/>
    <w:rPr>
      <w:sz w:val="20"/>
      <w:szCs w:val="20"/>
    </w:rPr>
  </w:style>
  <w:style w:type="paragraph" w:styleId="CommentSubject">
    <w:name w:val="annotation subject"/>
    <w:basedOn w:val="CommentText"/>
    <w:next w:val="CommentText"/>
    <w:link w:val="CommentSubjectChar"/>
    <w:uiPriority w:val="99"/>
    <w:semiHidden/>
    <w:unhideWhenUsed/>
    <w:rsid w:val="00BF2BBF"/>
    <w:rPr>
      <w:b/>
      <w:bCs/>
    </w:rPr>
  </w:style>
  <w:style w:type="character" w:customStyle="1" w:styleId="CommentSubjectChar">
    <w:name w:val="Comment Subject Char"/>
    <w:basedOn w:val="CommentTextChar"/>
    <w:link w:val="CommentSubject"/>
    <w:uiPriority w:val="99"/>
    <w:semiHidden/>
    <w:rsid w:val="00BF2BBF"/>
    <w:rPr>
      <w:b/>
      <w:bCs/>
      <w:sz w:val="20"/>
      <w:szCs w:val="20"/>
    </w:rPr>
  </w:style>
  <w:style w:type="paragraph" w:styleId="Revision">
    <w:name w:val="Revision"/>
    <w:hidden/>
    <w:uiPriority w:val="99"/>
    <w:semiHidden/>
    <w:rsid w:val="001D70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quisition.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Bartley, Mae K CIV OSD OUSD A-S (USA)</dc:creator>
  <cp:keywords/>
  <dc:description/>
  <cp:lastModifiedBy>Johnson, Jennifer D CIV OSD OUSD A-S (USA)</cp:lastModifiedBy>
  <cp:revision>9</cp:revision>
  <dcterms:created xsi:type="dcterms:W3CDTF">2023-01-17T14:08:00Z</dcterms:created>
  <dcterms:modified xsi:type="dcterms:W3CDTF">2023-03-14T20:58:00Z</dcterms:modified>
</cp:coreProperties>
</file>