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8B9CAE" w14:textId="77777777" w:rsidR="00761EC1" w:rsidRPr="00761EC1" w:rsidRDefault="00761EC1" w:rsidP="00761EC1">
      <w:pPr>
        <w:tabs>
          <w:tab w:val="clear" w:pos="1000"/>
        </w:tabs>
        <w:overflowPunct/>
        <w:autoSpaceDE/>
        <w:autoSpaceDN/>
        <w:adjustRightInd/>
        <w:ind w:left="0" w:firstLine="0"/>
        <w:jc w:val="center"/>
        <w:textAlignment w:val="auto"/>
        <w:outlineLvl w:val="3"/>
        <w:rPr>
          <w:rFonts w:ascii="Century Schoolbook" w:eastAsia="Calibri" w:hAnsi="Century Schoolbook" w:cs="Courier New"/>
          <w:bCs/>
          <w:szCs w:val="24"/>
        </w:rPr>
      </w:pPr>
      <w:bookmarkStart w:id="0" w:name="P538_103932"/>
      <w:bookmarkStart w:id="1" w:name="BM206_0"/>
      <w:bookmarkEnd w:id="0"/>
      <w:r w:rsidRPr="00761EC1">
        <w:rPr>
          <w:rFonts w:ascii="Century Schoolbook" w:eastAsia="Calibri" w:hAnsi="Century Schoolbook" w:cs="Courier New"/>
          <w:bCs/>
          <w:szCs w:val="24"/>
        </w:rPr>
        <w:t xml:space="preserve">DFARS Case </w:t>
      </w:r>
      <w:r>
        <w:rPr>
          <w:rFonts w:ascii="Century Schoolbook" w:eastAsia="Calibri" w:hAnsi="Century Schoolbook" w:cs="Courier New"/>
          <w:bCs/>
          <w:szCs w:val="24"/>
        </w:rPr>
        <w:t>2019-D031</w:t>
      </w:r>
    </w:p>
    <w:p w14:paraId="0F0677A3" w14:textId="77777777" w:rsidR="00761EC1" w:rsidRPr="00761EC1" w:rsidRDefault="00761EC1" w:rsidP="00761EC1">
      <w:pPr>
        <w:tabs>
          <w:tab w:val="clear" w:pos="1000"/>
        </w:tabs>
        <w:overflowPunct/>
        <w:autoSpaceDE/>
        <w:autoSpaceDN/>
        <w:adjustRightInd/>
        <w:ind w:left="0" w:firstLine="0"/>
        <w:jc w:val="center"/>
        <w:textAlignment w:val="auto"/>
        <w:outlineLvl w:val="3"/>
        <w:rPr>
          <w:rFonts w:ascii="Century Schoolbook" w:eastAsia="Calibri" w:hAnsi="Century Schoolbook" w:cs="Courier New"/>
          <w:szCs w:val="24"/>
          <w:shd w:val="clear" w:color="auto" w:fill="FFFFFF"/>
        </w:rPr>
      </w:pPr>
      <w:r w:rsidRPr="00761EC1">
        <w:rPr>
          <w:rFonts w:ascii="Century Schoolbook" w:eastAsia="Calibri" w:hAnsi="Century Schoolbook" w:cs="Courier New"/>
          <w:szCs w:val="24"/>
          <w:shd w:val="clear" w:color="auto" w:fill="FFFFFF"/>
        </w:rPr>
        <w:t xml:space="preserve">(S) </w:t>
      </w:r>
      <w:r>
        <w:rPr>
          <w:rFonts w:ascii="Century Schoolbook" w:eastAsia="Calibri" w:hAnsi="Century Schoolbook" w:cs="Courier New"/>
          <w:szCs w:val="24"/>
          <w:shd w:val="clear" w:color="auto" w:fill="FFFFFF"/>
        </w:rPr>
        <w:t>Exception to Competition for Certain Follow-on Production Contracts</w:t>
      </w:r>
    </w:p>
    <w:p w14:paraId="06286A15" w14:textId="6E456C20" w:rsidR="00761EC1" w:rsidRPr="00761EC1" w:rsidRDefault="00761EC1" w:rsidP="00761EC1">
      <w:pPr>
        <w:tabs>
          <w:tab w:val="clear" w:pos="1000"/>
        </w:tabs>
        <w:overflowPunct/>
        <w:autoSpaceDE/>
        <w:autoSpaceDN/>
        <w:adjustRightInd/>
        <w:ind w:left="0" w:firstLine="0"/>
        <w:jc w:val="center"/>
        <w:textAlignment w:val="auto"/>
        <w:outlineLvl w:val="3"/>
        <w:rPr>
          <w:rFonts w:ascii="Century Schoolbook" w:eastAsia="Calibri" w:hAnsi="Century Schoolbook" w:cs="Courier New"/>
          <w:bCs/>
          <w:szCs w:val="24"/>
        </w:rPr>
      </w:pPr>
      <w:r w:rsidRPr="00761EC1">
        <w:rPr>
          <w:rFonts w:ascii="Century Schoolbook" w:eastAsia="Calibri" w:hAnsi="Century Schoolbook" w:cs="Courier New"/>
          <w:bCs/>
          <w:szCs w:val="24"/>
        </w:rPr>
        <w:t>Final Rule</w:t>
      </w:r>
    </w:p>
    <w:p w14:paraId="577A4E24" w14:textId="77777777" w:rsidR="00761EC1" w:rsidRPr="00761EC1" w:rsidRDefault="00761EC1" w:rsidP="00761EC1">
      <w:pPr>
        <w:tabs>
          <w:tab w:val="clear" w:pos="1000"/>
        </w:tabs>
        <w:overflowPunct/>
        <w:autoSpaceDE/>
        <w:autoSpaceDN/>
        <w:adjustRightInd/>
        <w:ind w:left="0" w:firstLine="0"/>
        <w:textAlignment w:val="auto"/>
        <w:outlineLvl w:val="3"/>
        <w:rPr>
          <w:rFonts w:ascii="Century Schoolbook" w:eastAsia="Calibri" w:hAnsi="Century Schoolbook" w:cs="Courier New"/>
          <w:b w:val="0"/>
          <w:bCs/>
          <w:szCs w:val="24"/>
        </w:rPr>
      </w:pPr>
    </w:p>
    <w:p w14:paraId="0A14A2DC" w14:textId="77777777" w:rsidR="0028733F" w:rsidRDefault="0028733F" w:rsidP="00217A64">
      <w:pPr>
        <w:pStyle w:val="DFARS"/>
      </w:pPr>
    </w:p>
    <w:p w14:paraId="54B874FD" w14:textId="77777777" w:rsidR="00761EC1" w:rsidRPr="00761EC1" w:rsidRDefault="00761EC1" w:rsidP="00761EC1">
      <w:pPr>
        <w:pStyle w:val="DFARS"/>
        <w:jc w:val="center"/>
        <w:rPr>
          <w:b/>
        </w:rPr>
      </w:pPr>
      <w:r w:rsidRPr="00761EC1">
        <w:rPr>
          <w:b/>
        </w:rPr>
        <w:t>PART 206—COMPETITION REQUIREMENTS</w:t>
      </w:r>
    </w:p>
    <w:p w14:paraId="436CE80D" w14:textId="77777777" w:rsidR="00EB177C" w:rsidRDefault="00EB177C" w:rsidP="00217A64">
      <w:pPr>
        <w:pStyle w:val="DFARS"/>
      </w:pPr>
    </w:p>
    <w:p w14:paraId="440F01E8" w14:textId="77777777" w:rsidR="00217A64" w:rsidRPr="00761EC1" w:rsidRDefault="00761EC1" w:rsidP="00217A64">
      <w:pPr>
        <w:pStyle w:val="DFARS"/>
      </w:pPr>
      <w:r w:rsidRPr="00761EC1">
        <w:t>* * * * *</w:t>
      </w:r>
    </w:p>
    <w:p w14:paraId="0EC8EA31" w14:textId="77777777" w:rsidR="00761EC1" w:rsidRDefault="00761EC1" w:rsidP="00217A64">
      <w:pPr>
        <w:pStyle w:val="DFARS"/>
      </w:pPr>
    </w:p>
    <w:p w14:paraId="4CCD0329" w14:textId="77777777" w:rsidR="0028733F" w:rsidRDefault="0028733F" w:rsidP="00217A64">
      <w:pPr>
        <w:pStyle w:val="DFARS"/>
        <w:rPr>
          <w:b/>
        </w:rPr>
      </w:pPr>
      <w:proofErr w:type="gramStart"/>
      <w:r>
        <w:rPr>
          <w:b/>
        </w:rPr>
        <w:t>206.001  Applicability</w:t>
      </w:r>
      <w:proofErr w:type="gramEnd"/>
      <w:r>
        <w:rPr>
          <w:b/>
        </w:rPr>
        <w:t>.</w:t>
      </w:r>
    </w:p>
    <w:p w14:paraId="6FFF1FEC" w14:textId="77777777" w:rsidR="0028733F" w:rsidRDefault="0028733F" w:rsidP="00217A64">
      <w:pPr>
        <w:pStyle w:val="DFARS"/>
        <w:rPr>
          <w:b/>
        </w:rPr>
      </w:pPr>
    </w:p>
    <w:p w14:paraId="29788D62" w14:textId="033A8384" w:rsidR="003C5748" w:rsidRDefault="0028733F" w:rsidP="003C5748">
      <w:pPr>
        <w:pStyle w:val="DFARS"/>
      </w:pPr>
      <w:r>
        <w:tab/>
        <w:t xml:space="preserve">(b)  As authorized by 10 U.S.C. 1091, contracts awarded to individuals using the procedures at 237.104(b)(ii) are exempt from the competition requirements of FAR </w:t>
      </w:r>
      <w:r w:rsidR="00096592">
        <w:t>p</w:t>
      </w:r>
      <w:r>
        <w:t xml:space="preserve">art </w:t>
      </w:r>
      <w:bookmarkStart w:id="2" w:name="_GoBack"/>
      <w:bookmarkEnd w:id="2"/>
      <w:r>
        <w:t>6.</w:t>
      </w:r>
    </w:p>
    <w:p w14:paraId="10D4AAC4" w14:textId="77777777" w:rsidR="00BC2911" w:rsidRDefault="00BC2911" w:rsidP="003C5748">
      <w:pPr>
        <w:pStyle w:val="DFARS"/>
      </w:pPr>
    </w:p>
    <w:p w14:paraId="49A7E397" w14:textId="77777777" w:rsidR="00BC2911" w:rsidRPr="009F4BF3" w:rsidRDefault="00BC2911" w:rsidP="003C5748">
      <w:pPr>
        <w:pStyle w:val="DFARS"/>
        <w:rPr>
          <w:b/>
          <w:bCs/>
        </w:rPr>
      </w:pPr>
      <w:r w:rsidRPr="009F4BF3">
        <w:rPr>
          <w:b/>
          <w:bCs/>
        </w:rPr>
        <w:t>[206.001-</w:t>
      </w:r>
      <w:proofErr w:type="gramStart"/>
      <w:r w:rsidRPr="009F4BF3">
        <w:rPr>
          <w:b/>
          <w:bCs/>
        </w:rPr>
        <w:t>70  Exception</w:t>
      </w:r>
      <w:proofErr w:type="gramEnd"/>
      <w:r w:rsidRPr="009F4BF3">
        <w:rPr>
          <w:b/>
          <w:bCs/>
        </w:rPr>
        <w:t xml:space="preserve"> for prototype projects</w:t>
      </w:r>
      <w:r w:rsidRPr="00BC2911">
        <w:rPr>
          <w:b/>
          <w:bCs/>
        </w:rPr>
        <w:t xml:space="preserve"> for follow-on production contracts</w:t>
      </w:r>
      <w:r w:rsidRPr="009F4BF3">
        <w:rPr>
          <w:b/>
          <w:bCs/>
        </w:rPr>
        <w:t>.]</w:t>
      </w:r>
    </w:p>
    <w:p w14:paraId="48D2EF26" w14:textId="77777777" w:rsidR="003C5748" w:rsidRDefault="003C5748" w:rsidP="003C5748">
      <w:pPr>
        <w:pStyle w:val="DFARS"/>
      </w:pPr>
    </w:p>
    <w:p w14:paraId="5F2D4FBB" w14:textId="30E78DD8" w:rsidR="003C5748" w:rsidRDefault="003C5748" w:rsidP="003C5748">
      <w:pPr>
        <w:pStyle w:val="DFARS"/>
        <w:rPr>
          <w:b/>
        </w:rPr>
      </w:pPr>
      <w:r w:rsidRPr="00F56455">
        <w:tab/>
      </w:r>
      <w:r w:rsidR="00F56455">
        <w:rPr>
          <w:b/>
        </w:rPr>
        <w:t>[(a</w:t>
      </w:r>
      <w:proofErr w:type="gramStart"/>
      <w:r w:rsidR="00F56455">
        <w:rPr>
          <w:b/>
        </w:rPr>
        <w:t>)]</w:t>
      </w:r>
      <w:r w:rsidR="0028733F" w:rsidRPr="009F4BF3">
        <w:rPr>
          <w:strike/>
        </w:rPr>
        <w:t>(</w:t>
      </w:r>
      <w:proofErr w:type="gramEnd"/>
      <w:r w:rsidR="0028733F" w:rsidRPr="009F4BF3">
        <w:rPr>
          <w:strike/>
        </w:rPr>
        <w:t>S-70)</w:t>
      </w:r>
      <w:r w:rsidR="0028733F" w:rsidRPr="00F56455">
        <w:t xml:space="preserve">  </w:t>
      </w:r>
      <w:r w:rsidR="0028733F">
        <w:t>Also excepted from this part are follow-on production contracts for products developed pursuant to the “other transactions” authority of 10 U.S.C. 2371</w:t>
      </w:r>
      <w:r w:rsidR="00262881">
        <w:rPr>
          <w:b/>
        </w:rPr>
        <w:t>[b]</w:t>
      </w:r>
      <w:r w:rsidR="00A900B6">
        <w:t xml:space="preserve"> for prototype projects when—</w:t>
      </w:r>
    </w:p>
    <w:p w14:paraId="6858AB59" w14:textId="77777777" w:rsidR="003C5748" w:rsidRDefault="003C5748" w:rsidP="003C5748">
      <w:pPr>
        <w:pStyle w:val="DFARS"/>
        <w:rPr>
          <w:b/>
        </w:rPr>
      </w:pPr>
    </w:p>
    <w:p w14:paraId="2CB25D2F" w14:textId="06514A55" w:rsidR="003C5748" w:rsidRDefault="00F56455" w:rsidP="003C5748">
      <w:pPr>
        <w:pStyle w:val="DFARS"/>
      </w:pPr>
      <w:r>
        <w:tab/>
      </w:r>
      <w:r w:rsidR="003C5748">
        <w:tab/>
      </w:r>
      <w:r w:rsidR="0028733F">
        <w:t>(</w:t>
      </w:r>
      <w:r w:rsidR="0028733F" w:rsidRPr="00F56455">
        <w:t>1</w:t>
      </w:r>
      <w:r w:rsidR="0028733F">
        <w:t xml:space="preserve">)  The other transaction </w:t>
      </w:r>
      <w:r w:rsidR="00757E5F" w:rsidRPr="00E94F6B">
        <w:rPr>
          <w:b/>
        </w:rPr>
        <w:t>[solic</w:t>
      </w:r>
      <w:r w:rsidR="002773CB" w:rsidRPr="00E94F6B">
        <w:rPr>
          <w:b/>
        </w:rPr>
        <w:t>itation and]</w:t>
      </w:r>
      <w:r w:rsidR="002773CB">
        <w:t xml:space="preserve"> </w:t>
      </w:r>
      <w:r w:rsidR="0028733F">
        <w:t xml:space="preserve">agreement </w:t>
      </w:r>
      <w:r w:rsidR="0028733F" w:rsidRPr="009F4BF3">
        <w:rPr>
          <w:strike/>
        </w:rPr>
        <w:t>include</w:t>
      </w:r>
      <w:r w:rsidR="0028733F" w:rsidRPr="00757E5F">
        <w:rPr>
          <w:strike/>
        </w:rPr>
        <w:t>s</w:t>
      </w:r>
      <w:r w:rsidR="00757E5F" w:rsidRPr="00E94F6B">
        <w:rPr>
          <w:b/>
        </w:rPr>
        <w:t>[</w:t>
      </w:r>
      <w:r w:rsidR="00F556F6">
        <w:rPr>
          <w:b/>
        </w:rPr>
        <w:t>include</w:t>
      </w:r>
      <w:r w:rsidR="00757E5F" w:rsidRPr="00E94F6B">
        <w:rPr>
          <w:b/>
        </w:rPr>
        <w:t>d]</w:t>
      </w:r>
      <w:r w:rsidR="0028733F">
        <w:t xml:space="preserve"> provisions for a follow-on production contract;</w:t>
      </w:r>
      <w:r w:rsidR="001E751A">
        <w:t xml:space="preserve"> </w:t>
      </w:r>
      <w:r w:rsidR="009B7037" w:rsidRPr="009B7037">
        <w:rPr>
          <w:b/>
        </w:rPr>
        <w:t>[and]</w:t>
      </w:r>
    </w:p>
    <w:p w14:paraId="51ADA479" w14:textId="77777777" w:rsidR="003C5748" w:rsidRDefault="003C5748" w:rsidP="003C5748">
      <w:pPr>
        <w:pStyle w:val="DFARS"/>
      </w:pPr>
    </w:p>
    <w:p w14:paraId="0D8B8BFA" w14:textId="23FB4D13" w:rsidR="00046A55" w:rsidRPr="009F4BF3" w:rsidRDefault="00F56455" w:rsidP="003C5748">
      <w:pPr>
        <w:pStyle w:val="DFARS"/>
      </w:pPr>
      <w:r>
        <w:tab/>
      </w:r>
      <w:r w:rsidR="003C5748">
        <w:tab/>
      </w:r>
      <w:r w:rsidR="0028733F">
        <w:t>(</w:t>
      </w:r>
      <w:r w:rsidR="0028733F" w:rsidRPr="00F56455">
        <w:t>2</w:t>
      </w:r>
      <w:r w:rsidR="0028733F">
        <w:t xml:space="preserve">)  The contracting officer receives sufficient </w:t>
      </w:r>
      <w:r w:rsidR="0028733F" w:rsidRPr="000D16E5">
        <w:rPr>
          <w:strike/>
        </w:rPr>
        <w:t>information</w:t>
      </w:r>
      <w:r w:rsidR="0028733F">
        <w:t xml:space="preserve"> </w:t>
      </w:r>
      <w:r w:rsidR="000D16E5" w:rsidRPr="000D16E5">
        <w:rPr>
          <w:b/>
        </w:rPr>
        <w:t>[documentation]</w:t>
      </w:r>
      <w:r w:rsidR="000D16E5">
        <w:t xml:space="preserve"> </w:t>
      </w:r>
      <w:r w:rsidR="0028733F">
        <w:t xml:space="preserve">from the agreements officer </w:t>
      </w:r>
      <w:r w:rsidR="0028733F" w:rsidRPr="00FE1819">
        <w:rPr>
          <w:strike/>
        </w:rPr>
        <w:t>and the project manager for</w:t>
      </w:r>
      <w:r w:rsidR="0028733F">
        <w:t xml:space="preserve"> </w:t>
      </w:r>
      <w:r w:rsidR="00FE1819">
        <w:rPr>
          <w:b/>
        </w:rPr>
        <w:t xml:space="preserve">[of] </w:t>
      </w:r>
      <w:r w:rsidR="0028733F">
        <w:t xml:space="preserve">the </w:t>
      </w:r>
      <w:r w:rsidR="0028733F" w:rsidRPr="000D16E5">
        <w:rPr>
          <w:strike/>
        </w:rPr>
        <w:t xml:space="preserve">prototype </w:t>
      </w:r>
      <w:r w:rsidR="0028733F">
        <w:t>other transaction agreement</w:t>
      </w:r>
      <w:r w:rsidR="000D16E5">
        <w:t xml:space="preserve"> </w:t>
      </w:r>
      <w:r w:rsidR="000D16E5" w:rsidRPr="000D16E5">
        <w:rPr>
          <w:b/>
        </w:rPr>
        <w:t>[for the prototype project]</w:t>
      </w:r>
      <w:r w:rsidR="0028733F" w:rsidRPr="000D16E5">
        <w:rPr>
          <w:strike/>
        </w:rPr>
        <w:t xml:space="preserve">, which documents </w:t>
      </w:r>
      <w:r w:rsidR="004A62CC">
        <w:t>that t</w:t>
      </w:r>
      <w:r w:rsidR="0028733F">
        <w:t xml:space="preserve">he </w:t>
      </w:r>
      <w:r w:rsidR="0028733F" w:rsidRPr="009B7037">
        <w:rPr>
          <w:strike/>
        </w:rPr>
        <w:t xml:space="preserve">conditions set forth in </w:t>
      </w:r>
      <w:r w:rsidR="004A62CC" w:rsidRPr="009B7037">
        <w:rPr>
          <w:strike/>
        </w:rPr>
        <w:t>10 U.S.C. 2371</w:t>
      </w:r>
      <w:r w:rsidR="00D90244">
        <w:rPr>
          <w:strike/>
        </w:rPr>
        <w:t xml:space="preserve"> </w:t>
      </w:r>
      <w:r w:rsidR="004A62CC" w:rsidRPr="009B7037">
        <w:rPr>
          <w:strike/>
        </w:rPr>
        <w:t>note, subsections (f)(2)(A) and (B) (see 32 CFR 3.9(d</w:t>
      </w:r>
      <w:r w:rsidR="004A62CC" w:rsidRPr="00161A53">
        <w:rPr>
          <w:strike/>
        </w:rPr>
        <w:t>)),</w:t>
      </w:r>
      <w:r w:rsidR="004A62CC" w:rsidRPr="004A62CC">
        <w:t xml:space="preserve"> </w:t>
      </w:r>
      <w:r w:rsidR="00E94F6B" w:rsidRPr="009B7037">
        <w:rPr>
          <w:b/>
        </w:rPr>
        <w:t>[requirements of 10 U.S.C. 2371b sections (f)(2)(A) and (B) and, when applicable, section (a)(2)</w:t>
      </w:r>
      <w:r w:rsidR="009B7037" w:rsidRPr="009B7037">
        <w:rPr>
          <w:b/>
        </w:rPr>
        <w:t>,</w:t>
      </w:r>
      <w:r w:rsidR="00D90244">
        <w:rPr>
          <w:b/>
        </w:rPr>
        <w:t>]</w:t>
      </w:r>
      <w:r w:rsidR="009B7037" w:rsidRPr="009F4BF3">
        <w:t xml:space="preserve"> have been met</w:t>
      </w:r>
      <w:r w:rsidR="00D90244" w:rsidRPr="009F4BF3">
        <w:rPr>
          <w:b/>
        </w:rPr>
        <w:t>[</w:t>
      </w:r>
      <w:r w:rsidR="00471025" w:rsidRPr="00D90244">
        <w:rPr>
          <w:b/>
        </w:rPr>
        <w:t>.</w:t>
      </w:r>
      <w:r w:rsidR="00D90244" w:rsidRPr="009F4BF3">
        <w:rPr>
          <w:b/>
        </w:rPr>
        <w:t>]</w:t>
      </w:r>
      <w:r w:rsidR="00D90244" w:rsidRPr="009F4BF3">
        <w:rPr>
          <w:strike/>
        </w:rPr>
        <w:t>; and</w:t>
      </w:r>
    </w:p>
    <w:p w14:paraId="3D85BD61" w14:textId="77777777" w:rsidR="00046A55" w:rsidRDefault="00046A55" w:rsidP="003C5748">
      <w:pPr>
        <w:pStyle w:val="DFARS"/>
        <w:rPr>
          <w:b/>
        </w:rPr>
      </w:pPr>
    </w:p>
    <w:p w14:paraId="4EBEF79F" w14:textId="39D8EFC6" w:rsidR="003C5748" w:rsidRDefault="00046A55" w:rsidP="003C5748">
      <w:pPr>
        <w:pStyle w:val="DFARS"/>
      </w:pPr>
      <w:r>
        <w:rPr>
          <w:b/>
        </w:rPr>
        <w:tab/>
      </w:r>
      <w:r w:rsidR="00D90244">
        <w:rPr>
          <w:b/>
        </w:rPr>
        <w:t>[</w:t>
      </w:r>
      <w:r>
        <w:rPr>
          <w:b/>
        </w:rPr>
        <w:t>(</w:t>
      </w:r>
      <w:proofErr w:type="gramStart"/>
      <w:r w:rsidR="00F56455">
        <w:rPr>
          <w:b/>
        </w:rPr>
        <w:t>b</w:t>
      </w:r>
      <w:r>
        <w:rPr>
          <w:b/>
        </w:rPr>
        <w:t xml:space="preserve">)  </w:t>
      </w:r>
      <w:r w:rsidR="00471025">
        <w:rPr>
          <w:b/>
        </w:rPr>
        <w:t>S</w:t>
      </w:r>
      <w:r w:rsidR="009B7037" w:rsidRPr="009B7037">
        <w:rPr>
          <w:b/>
        </w:rPr>
        <w:t>ee</w:t>
      </w:r>
      <w:proofErr w:type="gramEnd"/>
      <w:r w:rsidR="009B7037" w:rsidRPr="009B7037">
        <w:rPr>
          <w:b/>
        </w:rPr>
        <w:t xml:space="preserve"> PGI 206</w:t>
      </w:r>
      <w:r w:rsidR="00A87A38">
        <w:rPr>
          <w:b/>
        </w:rPr>
        <w:t>.001-70</w:t>
      </w:r>
      <w:r>
        <w:rPr>
          <w:b/>
        </w:rPr>
        <w:t>(c)</w:t>
      </w:r>
      <w:r w:rsidR="009B7037" w:rsidRPr="009B7037">
        <w:rPr>
          <w:b/>
        </w:rPr>
        <w:t xml:space="preserve"> for additional </w:t>
      </w:r>
      <w:r>
        <w:rPr>
          <w:b/>
        </w:rPr>
        <w:t>guidance</w:t>
      </w:r>
      <w:r w:rsidR="009B7037" w:rsidRPr="009B7037">
        <w:rPr>
          <w:b/>
        </w:rPr>
        <w:t>.]</w:t>
      </w:r>
    </w:p>
    <w:p w14:paraId="0F2E703F" w14:textId="77777777" w:rsidR="003C5748" w:rsidRDefault="003C5748" w:rsidP="003C5748">
      <w:pPr>
        <w:pStyle w:val="DFARS"/>
      </w:pPr>
    </w:p>
    <w:p w14:paraId="0394E06E" w14:textId="77777777" w:rsidR="0028733F" w:rsidRPr="003C5748" w:rsidRDefault="003C5748" w:rsidP="003C5748">
      <w:pPr>
        <w:pStyle w:val="DFARS"/>
      </w:pPr>
      <w:r>
        <w:tab/>
      </w:r>
      <w:r>
        <w:tab/>
      </w:r>
      <w:r w:rsidR="0028733F" w:rsidRPr="009B7037">
        <w:rPr>
          <w:strike/>
        </w:rPr>
        <w:t>(3)  The contracting officer establishes quantities and prices for the follow-on production contract that do not exceed the quantities and target prices established in the other transaction agreement.</w:t>
      </w:r>
    </w:p>
    <w:bookmarkEnd w:id="1"/>
    <w:p w14:paraId="017290A4" w14:textId="77777777" w:rsidR="0028733F" w:rsidRDefault="0028733F" w:rsidP="00217A64">
      <w:pPr>
        <w:pStyle w:val="DFARS"/>
        <w:rPr>
          <w:b/>
        </w:rPr>
      </w:pPr>
    </w:p>
    <w:sectPr w:rsidR="0028733F" w:rsidSect="003C5748">
      <w:headerReference w:type="default" r:id="rId8"/>
      <w:footerReference w:type="default" r:id="rId9"/>
      <w:footnotePr>
        <w:numStart w:val="0"/>
      </w:footnotePr>
      <w:pgSz w:w="12240" w:h="15840" w:code="1"/>
      <w:pgMar w:top="720" w:right="1440" w:bottom="720" w:left="1440" w:header="634" w:footer="63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5029B7" w14:textId="77777777" w:rsidR="00410E59" w:rsidRDefault="00410E59">
      <w:r>
        <w:separator/>
      </w:r>
    </w:p>
  </w:endnote>
  <w:endnote w:type="continuationSeparator" w:id="0">
    <w:p w14:paraId="25B39B41" w14:textId="77777777" w:rsidR="00410E59" w:rsidRDefault="00410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883186" w14:textId="476B594F" w:rsidR="00F1234F" w:rsidRPr="009045D3" w:rsidRDefault="004B4C6B" w:rsidP="009831A4">
    <w:pPr>
      <w:tabs>
        <w:tab w:val="clear" w:pos="1000"/>
        <w:tab w:val="center" w:pos="4680"/>
        <w:tab w:val="right" w:pos="9360"/>
      </w:tabs>
      <w:overflowPunct/>
      <w:autoSpaceDE/>
      <w:autoSpaceDN/>
      <w:adjustRightInd/>
      <w:ind w:left="0" w:firstLine="0"/>
      <w:jc w:val="both"/>
      <w:textAlignment w:val="auto"/>
      <w:rPr>
        <w:rFonts w:ascii="Century Schoolbook" w:hAnsi="Century Schoolbook"/>
        <w:sz w:val="22"/>
        <w:szCs w:val="22"/>
        <w:u w:val="single"/>
      </w:rPr>
    </w:pPr>
    <w:r w:rsidRPr="009045D3">
      <w:rPr>
        <w:rFonts w:ascii="Century Schoolbook" w:hAnsi="Century Schoolbook" w:cs="Calibri"/>
        <w:b w:val="0"/>
        <w:sz w:val="22"/>
        <w:szCs w:val="22"/>
      </w:rPr>
      <w:tab/>
    </w:r>
    <w:r w:rsidR="00197506" w:rsidRPr="009045D3">
      <w:rPr>
        <w:rFonts w:ascii="Century Schoolbook" w:hAnsi="Century Schoolbook" w:cs="Calibri"/>
        <w:b w:val="0"/>
        <w:sz w:val="22"/>
        <w:szCs w:val="22"/>
      </w:rPr>
      <w:t xml:space="preserve">Page </w:t>
    </w:r>
    <w:r w:rsidR="00197506" w:rsidRPr="009045D3">
      <w:rPr>
        <w:rFonts w:ascii="Century Schoolbook" w:hAnsi="Century Schoolbook" w:cs="Calibri"/>
        <w:b w:val="0"/>
        <w:sz w:val="22"/>
        <w:szCs w:val="22"/>
      </w:rPr>
      <w:fldChar w:fldCharType="begin"/>
    </w:r>
    <w:r w:rsidR="00197506" w:rsidRPr="009045D3">
      <w:rPr>
        <w:rFonts w:ascii="Century Schoolbook" w:hAnsi="Century Schoolbook" w:cs="Calibri"/>
        <w:b w:val="0"/>
        <w:sz w:val="22"/>
        <w:szCs w:val="22"/>
      </w:rPr>
      <w:instrText xml:space="preserve"> PAGE </w:instrText>
    </w:r>
    <w:r w:rsidR="00197506" w:rsidRPr="009045D3">
      <w:rPr>
        <w:rFonts w:ascii="Century Schoolbook" w:hAnsi="Century Schoolbook" w:cs="Calibri"/>
        <w:b w:val="0"/>
        <w:sz w:val="22"/>
        <w:szCs w:val="22"/>
      </w:rPr>
      <w:fldChar w:fldCharType="separate"/>
    </w:r>
    <w:r w:rsidR="009045D3">
      <w:rPr>
        <w:rFonts w:ascii="Century Schoolbook" w:hAnsi="Century Schoolbook" w:cs="Calibri"/>
        <w:b w:val="0"/>
        <w:noProof/>
        <w:sz w:val="22"/>
        <w:szCs w:val="22"/>
      </w:rPr>
      <w:t>1</w:t>
    </w:r>
    <w:r w:rsidR="00197506" w:rsidRPr="009045D3">
      <w:rPr>
        <w:rFonts w:ascii="Century Schoolbook" w:hAnsi="Century Schoolbook" w:cs="Calibri"/>
        <w:b w:val="0"/>
        <w:sz w:val="22"/>
        <w:szCs w:val="22"/>
      </w:rPr>
      <w:fldChar w:fldCharType="end"/>
    </w:r>
    <w:r w:rsidR="00197506" w:rsidRPr="009045D3">
      <w:rPr>
        <w:rFonts w:ascii="Century Schoolbook" w:hAnsi="Century Schoolbook" w:cs="Calibri"/>
        <w:b w:val="0"/>
        <w:sz w:val="22"/>
        <w:szCs w:val="22"/>
      </w:rPr>
      <w:t xml:space="preserve"> of </w:t>
    </w:r>
    <w:r w:rsidR="00197506" w:rsidRPr="009045D3">
      <w:rPr>
        <w:rFonts w:ascii="Century Schoolbook" w:hAnsi="Century Schoolbook" w:cs="Calibri"/>
        <w:b w:val="0"/>
        <w:sz w:val="22"/>
        <w:szCs w:val="22"/>
      </w:rPr>
      <w:fldChar w:fldCharType="begin"/>
    </w:r>
    <w:r w:rsidR="00197506" w:rsidRPr="009045D3">
      <w:rPr>
        <w:rFonts w:ascii="Century Schoolbook" w:hAnsi="Century Schoolbook" w:cs="Calibri"/>
        <w:b w:val="0"/>
        <w:sz w:val="22"/>
        <w:szCs w:val="22"/>
      </w:rPr>
      <w:instrText xml:space="preserve"> NUMPAGES  </w:instrText>
    </w:r>
    <w:r w:rsidR="00197506" w:rsidRPr="009045D3">
      <w:rPr>
        <w:rFonts w:ascii="Century Schoolbook" w:hAnsi="Century Schoolbook" w:cs="Calibri"/>
        <w:b w:val="0"/>
        <w:sz w:val="22"/>
        <w:szCs w:val="22"/>
      </w:rPr>
      <w:fldChar w:fldCharType="separate"/>
    </w:r>
    <w:r w:rsidR="009045D3">
      <w:rPr>
        <w:rFonts w:ascii="Century Schoolbook" w:hAnsi="Century Schoolbook" w:cs="Calibri"/>
        <w:b w:val="0"/>
        <w:noProof/>
        <w:sz w:val="22"/>
        <w:szCs w:val="22"/>
      </w:rPr>
      <w:t>1</w:t>
    </w:r>
    <w:r w:rsidR="00197506" w:rsidRPr="009045D3">
      <w:rPr>
        <w:rFonts w:ascii="Century Schoolbook" w:hAnsi="Century Schoolbook" w:cs="Calibri"/>
        <w:b w:val="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582B2F" w14:textId="77777777" w:rsidR="00410E59" w:rsidRDefault="00410E59">
      <w:r>
        <w:separator/>
      </w:r>
    </w:p>
  </w:footnote>
  <w:footnote w:type="continuationSeparator" w:id="0">
    <w:p w14:paraId="154C23D2" w14:textId="77777777" w:rsidR="00410E59" w:rsidRDefault="00410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4D2EDA" w14:textId="77777777" w:rsidR="00F1234F" w:rsidRDefault="00F1234F">
    <w:pPr>
      <w:pStyle w:val="Header"/>
      <w:ind w:left="0" w:firstLine="0"/>
      <w:rPr>
        <w:rFonts w:ascii="Century Schoolbook" w:hAnsi="Century Schoolbook"/>
        <w:b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75079"/>
    <w:multiLevelType w:val="hybridMultilevel"/>
    <w:tmpl w:val="B8204422"/>
    <w:lvl w:ilvl="0" w:tplc="04090001">
      <w:start w:val="1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15A18"/>
    <w:multiLevelType w:val="hybridMultilevel"/>
    <w:tmpl w:val="E1202226"/>
    <w:lvl w:ilvl="0" w:tplc="04090001">
      <w:start w:val="1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hdrShapeDefaults>
    <o:shapedefaults v:ext="edit" spidmax="11265"/>
  </w:hdrShapeDefaults>
  <w:footnotePr>
    <w:numStart w:val="0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A64"/>
    <w:rsid w:val="000175B9"/>
    <w:rsid w:val="00046A55"/>
    <w:rsid w:val="00096592"/>
    <w:rsid w:val="000A2B3D"/>
    <w:rsid w:val="000B2BC3"/>
    <w:rsid w:val="000D16E5"/>
    <w:rsid w:val="001300F6"/>
    <w:rsid w:val="00134994"/>
    <w:rsid w:val="00161A53"/>
    <w:rsid w:val="00162C64"/>
    <w:rsid w:val="00197506"/>
    <w:rsid w:val="001E751A"/>
    <w:rsid w:val="00217A64"/>
    <w:rsid w:val="00251E9D"/>
    <w:rsid w:val="00262881"/>
    <w:rsid w:val="002773CB"/>
    <w:rsid w:val="0028733F"/>
    <w:rsid w:val="002B7DCA"/>
    <w:rsid w:val="002D2B68"/>
    <w:rsid w:val="00334DE0"/>
    <w:rsid w:val="00373A83"/>
    <w:rsid w:val="00377127"/>
    <w:rsid w:val="003C5748"/>
    <w:rsid w:val="00410E59"/>
    <w:rsid w:val="00423291"/>
    <w:rsid w:val="00471025"/>
    <w:rsid w:val="00490231"/>
    <w:rsid w:val="004A62CC"/>
    <w:rsid w:val="004B4C6B"/>
    <w:rsid w:val="004B541F"/>
    <w:rsid w:val="00557BEC"/>
    <w:rsid w:val="005C1D48"/>
    <w:rsid w:val="005C7B37"/>
    <w:rsid w:val="00603F58"/>
    <w:rsid w:val="00631C66"/>
    <w:rsid w:val="00635902"/>
    <w:rsid w:val="00670160"/>
    <w:rsid w:val="00671C5F"/>
    <w:rsid w:val="00680784"/>
    <w:rsid w:val="00697AB7"/>
    <w:rsid w:val="006F0DED"/>
    <w:rsid w:val="00702496"/>
    <w:rsid w:val="0070400F"/>
    <w:rsid w:val="00720141"/>
    <w:rsid w:val="00757E5F"/>
    <w:rsid w:val="00761EC1"/>
    <w:rsid w:val="007C05C9"/>
    <w:rsid w:val="007D10A5"/>
    <w:rsid w:val="00830841"/>
    <w:rsid w:val="009045D3"/>
    <w:rsid w:val="009831A4"/>
    <w:rsid w:val="009B7037"/>
    <w:rsid w:val="009E13B0"/>
    <w:rsid w:val="009F4BF3"/>
    <w:rsid w:val="00A24A4E"/>
    <w:rsid w:val="00A37084"/>
    <w:rsid w:val="00A77DF1"/>
    <w:rsid w:val="00A87A38"/>
    <w:rsid w:val="00A900B6"/>
    <w:rsid w:val="00AC047E"/>
    <w:rsid w:val="00BC2911"/>
    <w:rsid w:val="00C623AD"/>
    <w:rsid w:val="00C9348B"/>
    <w:rsid w:val="00CB3911"/>
    <w:rsid w:val="00D0686F"/>
    <w:rsid w:val="00D90244"/>
    <w:rsid w:val="00E51AC6"/>
    <w:rsid w:val="00E94050"/>
    <w:rsid w:val="00E94F6B"/>
    <w:rsid w:val="00EB177C"/>
    <w:rsid w:val="00ED1C20"/>
    <w:rsid w:val="00EF7C39"/>
    <w:rsid w:val="00F1234F"/>
    <w:rsid w:val="00F4641D"/>
    <w:rsid w:val="00F52B99"/>
    <w:rsid w:val="00F556F6"/>
    <w:rsid w:val="00F56455"/>
    <w:rsid w:val="00F67455"/>
    <w:rsid w:val="00F6793D"/>
    <w:rsid w:val="00F95697"/>
    <w:rsid w:val="00FD1F48"/>
    <w:rsid w:val="00FE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  <w14:docId w14:val="4F38A983"/>
  <w15:chartTrackingRefBased/>
  <w15:docId w15:val="{D6787FC8-ACEE-476A-A54B-ABDCBFCD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abs>
        <w:tab w:val="left" w:pos="1000"/>
      </w:tabs>
      <w:overflowPunct w:val="0"/>
      <w:autoSpaceDE w:val="0"/>
      <w:autoSpaceDN w:val="0"/>
      <w:adjustRightInd w:val="0"/>
      <w:ind w:left="1000" w:hanging="1000"/>
      <w:textAlignment w:val="baseline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spacing w:before="120" w:after="120"/>
      <w:ind w:left="0" w:firstLine="0"/>
      <w:outlineLvl w:val="2"/>
    </w:pPr>
    <w:rPr>
      <w:b w:val="0"/>
    </w:rPr>
  </w:style>
  <w:style w:type="paragraph" w:styleId="Heading4">
    <w:name w:val="heading 4"/>
    <w:basedOn w:val="Normal"/>
    <w:next w:val="Normal"/>
    <w:qFormat/>
    <w:pPr>
      <w:tabs>
        <w:tab w:val="clear" w:pos="1000"/>
      </w:tabs>
      <w:ind w:left="360" w:firstLine="0"/>
      <w:outlineLvl w:val="3"/>
    </w:pPr>
    <w:rPr>
      <w:b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DFARS">
    <w:name w:val="DFARS"/>
    <w:basedOn w:val="Normal"/>
    <w:pPr>
      <w:tabs>
        <w:tab w:val="clear" w:pos="1000"/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exact"/>
      <w:ind w:left="0" w:firstLine="0"/>
    </w:pPr>
    <w:rPr>
      <w:rFonts w:ascii="Century Schoolbook" w:hAnsi="Century Schoolbook"/>
      <w:b w:val="0"/>
      <w:spacing w:val="-5"/>
      <w:kern w:val="20"/>
    </w:rPr>
  </w:style>
  <w:style w:type="paragraph" w:styleId="BalloonText">
    <w:name w:val="Balloon Text"/>
    <w:basedOn w:val="Normal"/>
    <w:rPr>
      <w:rFonts w:ascii="Tahoma" w:hAnsi="Tahoma"/>
      <w:sz w:val="16"/>
    </w:rPr>
  </w:style>
  <w:style w:type="character" w:styleId="PageNumber">
    <w:name w:val="page number"/>
    <w:rsid w:val="00217A64"/>
  </w:style>
  <w:style w:type="character" w:styleId="Hyperlink">
    <w:name w:val="Hyperlink"/>
    <w:uiPriority w:val="99"/>
    <w:unhideWhenUsed/>
    <w:rsid w:val="000B2BC3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E51AC6"/>
    <w:rPr>
      <w:color w:val="954F72"/>
      <w:u w:val="single"/>
    </w:rPr>
  </w:style>
  <w:style w:type="character" w:styleId="LineNumber">
    <w:name w:val="line number"/>
    <w:uiPriority w:val="99"/>
    <w:semiHidden/>
    <w:unhideWhenUsed/>
    <w:rsid w:val="00A37084"/>
  </w:style>
  <w:style w:type="character" w:styleId="CommentReference">
    <w:name w:val="annotation reference"/>
    <w:uiPriority w:val="99"/>
    <w:semiHidden/>
    <w:unhideWhenUsed/>
    <w:rsid w:val="00C934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348B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C9348B"/>
    <w:rPr>
      <w:b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348B"/>
    <w:rPr>
      <w:bCs/>
    </w:rPr>
  </w:style>
  <w:style w:type="character" w:customStyle="1" w:styleId="CommentSubjectChar">
    <w:name w:val="Comment Subject Char"/>
    <w:link w:val="CommentSubject"/>
    <w:uiPriority w:val="99"/>
    <w:semiHidden/>
    <w:rsid w:val="00C934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B75E5-B2FB-4A8E-8568-B0F042DBE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213.000_Scope of part.</vt:lpstr>
    </vt:vector>
  </TitlesOfParts>
  <Company>DoD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213.000_Scope of part.</dc:title>
  <dc:subject/>
  <dc:creator>OUSD(A)</dc:creator>
  <cp:keywords/>
  <cp:lastModifiedBy>Johnson, Jennifer D CIV OSD OUSD A-S (USA)</cp:lastModifiedBy>
  <cp:revision>4</cp:revision>
  <cp:lastPrinted>2019-04-01T18:12:00Z</cp:lastPrinted>
  <dcterms:created xsi:type="dcterms:W3CDTF">2022-02-18T19:24:00Z</dcterms:created>
  <dcterms:modified xsi:type="dcterms:W3CDTF">2022-02-24T18:49:00Z</dcterms:modified>
</cp:coreProperties>
</file>