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A930E" w14:textId="77777777" w:rsidR="00655A71" w:rsidRPr="00C95BFA" w:rsidRDefault="00655A7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outlineLvl w:val="3"/>
        <w:rPr>
          <w:rFonts w:ascii="Century Schoolbook" w:hAnsi="Century Schoolbook" w:cs="Courier New"/>
          <w:b/>
          <w:bCs/>
          <w:sz w:val="24"/>
          <w:szCs w:val="24"/>
        </w:rPr>
      </w:pPr>
      <w:bookmarkStart w:id="0" w:name="BM201_2"/>
      <w:bookmarkStart w:id="1" w:name="201.170"/>
      <w:r>
        <w:rPr>
          <w:rFonts w:ascii="Century Schoolbook" w:hAnsi="Century Schoolbook" w:cs="Courier New"/>
          <w:b/>
          <w:bCs/>
          <w:sz w:val="24"/>
          <w:szCs w:val="24"/>
        </w:rPr>
        <w:t>D</w:t>
      </w:r>
      <w:r w:rsidRPr="00C95BFA">
        <w:rPr>
          <w:rFonts w:ascii="Century Schoolbook" w:hAnsi="Century Schoolbook" w:cs="Courier New"/>
          <w:b/>
          <w:bCs/>
          <w:sz w:val="24"/>
          <w:szCs w:val="24"/>
        </w:rPr>
        <w:t>FAR</w:t>
      </w:r>
      <w:r>
        <w:rPr>
          <w:rFonts w:ascii="Century Schoolbook" w:hAnsi="Century Schoolbook" w:cs="Courier New"/>
          <w:b/>
          <w:bCs/>
          <w:sz w:val="24"/>
          <w:szCs w:val="24"/>
        </w:rPr>
        <w:t>S</w:t>
      </w:r>
      <w:r w:rsidRPr="00C95BFA">
        <w:rPr>
          <w:rFonts w:ascii="Century Schoolbook" w:hAnsi="Century Schoolbook" w:cs="Courier New"/>
          <w:b/>
          <w:bCs/>
          <w:sz w:val="24"/>
          <w:szCs w:val="24"/>
        </w:rPr>
        <w:t xml:space="preserve"> Case 20</w:t>
      </w:r>
      <w:r>
        <w:rPr>
          <w:rFonts w:ascii="Century Schoolbook" w:hAnsi="Century Schoolbook" w:cs="Courier New"/>
          <w:b/>
          <w:bCs/>
          <w:sz w:val="24"/>
          <w:szCs w:val="24"/>
        </w:rPr>
        <w:t>19</w:t>
      </w:r>
      <w:r w:rsidRPr="00C95BFA">
        <w:rPr>
          <w:rFonts w:ascii="Century Schoolbook" w:hAnsi="Century Schoolbook" w:cs="Courier New"/>
          <w:b/>
          <w:bCs/>
          <w:sz w:val="24"/>
          <w:szCs w:val="24"/>
        </w:rPr>
        <w:t>-</w:t>
      </w:r>
      <w:r>
        <w:rPr>
          <w:rFonts w:ascii="Century Schoolbook" w:hAnsi="Century Schoolbook" w:cs="Courier New"/>
          <w:b/>
          <w:bCs/>
          <w:sz w:val="24"/>
          <w:szCs w:val="24"/>
        </w:rPr>
        <w:t>D</w:t>
      </w:r>
      <w:r w:rsidRPr="00C95BFA">
        <w:rPr>
          <w:rFonts w:ascii="Century Schoolbook" w:hAnsi="Century Schoolbook" w:cs="Courier New"/>
          <w:b/>
          <w:bCs/>
          <w:sz w:val="24"/>
          <w:szCs w:val="24"/>
        </w:rPr>
        <w:t>0</w:t>
      </w:r>
      <w:r>
        <w:rPr>
          <w:rFonts w:ascii="Century Schoolbook" w:hAnsi="Century Schoolbook" w:cs="Courier New"/>
          <w:b/>
          <w:bCs/>
          <w:sz w:val="24"/>
          <w:szCs w:val="24"/>
        </w:rPr>
        <w:t>37</w:t>
      </w:r>
    </w:p>
    <w:p w14:paraId="411826AD" w14:textId="77777777" w:rsidR="00655A71" w:rsidRPr="00C95BFA" w:rsidRDefault="00655A7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outlineLvl w:val="3"/>
        <w:rPr>
          <w:rFonts w:ascii="Century Schoolbook" w:hAnsi="Century Schoolbook" w:cs="Courier New"/>
          <w:b/>
          <w:sz w:val="24"/>
          <w:szCs w:val="24"/>
          <w:shd w:val="clear" w:color="auto" w:fill="FFFFFF"/>
        </w:rPr>
      </w:pPr>
      <w:r>
        <w:rPr>
          <w:rFonts w:ascii="Century Schoolbook" w:hAnsi="Century Schoolbook" w:cs="Courier New"/>
          <w:b/>
          <w:sz w:val="24"/>
          <w:szCs w:val="24"/>
          <w:shd w:val="clear" w:color="auto" w:fill="FFFFFF"/>
        </w:rPr>
        <w:t>Peer Reviews of Contracts for Supplies and Services</w:t>
      </w:r>
    </w:p>
    <w:p w14:paraId="5690833A" w14:textId="00196D1A" w:rsidR="00655A71" w:rsidRPr="00C95BFA" w:rsidRDefault="0090572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outlineLvl w:val="3"/>
        <w:rPr>
          <w:rFonts w:ascii="Century Schoolbook" w:hAnsi="Century Schoolbook" w:cs="Courier New"/>
          <w:b/>
          <w:bCs/>
          <w:sz w:val="24"/>
          <w:szCs w:val="24"/>
        </w:rPr>
      </w:pPr>
      <w:r>
        <w:rPr>
          <w:rFonts w:ascii="Century Schoolbook" w:hAnsi="Century Schoolbook" w:cs="Courier New"/>
          <w:b/>
          <w:bCs/>
          <w:sz w:val="24"/>
          <w:szCs w:val="24"/>
        </w:rPr>
        <w:t>Final</w:t>
      </w:r>
      <w:r w:rsidRPr="0000373F">
        <w:rPr>
          <w:rFonts w:ascii="Century Schoolbook" w:hAnsi="Century Schoolbook" w:cs="Courier New"/>
          <w:b/>
          <w:bCs/>
          <w:sz w:val="24"/>
          <w:szCs w:val="24"/>
        </w:rPr>
        <w:t xml:space="preserve"> </w:t>
      </w:r>
      <w:r w:rsidR="00655A71" w:rsidRPr="0000373F">
        <w:rPr>
          <w:rFonts w:ascii="Century Schoolbook" w:hAnsi="Century Schoolbook" w:cs="Courier New"/>
          <w:b/>
          <w:bCs/>
          <w:sz w:val="24"/>
          <w:szCs w:val="24"/>
        </w:rPr>
        <w:t>Rule</w:t>
      </w:r>
    </w:p>
    <w:p w14:paraId="010733BF" w14:textId="42024415" w:rsidR="00655A71" w:rsidRDefault="00655A7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Century Schoolbook" w:hAnsi="Century Schoolbook" w:cs="Courier New"/>
          <w:bCs/>
          <w:sz w:val="24"/>
          <w:szCs w:val="24"/>
        </w:rPr>
      </w:pPr>
    </w:p>
    <w:p w14:paraId="367C66C9" w14:textId="71B24707" w:rsidR="00BE2F26" w:rsidRPr="00F57AA4" w:rsidRDefault="00BE2F26" w:rsidP="00F57AA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outlineLvl w:val="3"/>
        <w:rPr>
          <w:rFonts w:ascii="Century Schoolbook" w:hAnsi="Century Schoolbook" w:cs="Courier New"/>
          <w:b/>
          <w:sz w:val="24"/>
          <w:szCs w:val="24"/>
        </w:rPr>
      </w:pPr>
      <w:r w:rsidRPr="00F57AA4">
        <w:rPr>
          <w:rFonts w:ascii="Century Schoolbook" w:hAnsi="Century Schoolbook" w:cs="Courier New"/>
          <w:b/>
          <w:sz w:val="24"/>
          <w:szCs w:val="24"/>
        </w:rPr>
        <w:t>PART 201—FEDERAL ACQUISITION REGULATIONS SYSTEM</w:t>
      </w:r>
    </w:p>
    <w:p w14:paraId="5F5BD0DA" w14:textId="60681808" w:rsidR="00BE2F26" w:rsidRDefault="00BE2F2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Century Schoolbook" w:hAnsi="Century Schoolbook" w:cs="Courier New"/>
          <w:bCs/>
          <w:sz w:val="24"/>
          <w:szCs w:val="24"/>
        </w:rPr>
      </w:pPr>
    </w:p>
    <w:p w14:paraId="146EC6C5" w14:textId="313C18DE" w:rsidR="00BE2F26" w:rsidRPr="00C95BFA" w:rsidRDefault="00BE2F2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Century Schoolbook" w:hAnsi="Century Schoolbook" w:cs="Courier New"/>
          <w:bCs/>
          <w:sz w:val="24"/>
          <w:szCs w:val="24"/>
        </w:rPr>
      </w:pPr>
      <w:r>
        <w:rPr>
          <w:rFonts w:ascii="Century Schoolbook" w:hAnsi="Century Schoolbook" w:cs="Courier New"/>
          <w:bCs/>
          <w:sz w:val="24"/>
          <w:szCs w:val="24"/>
        </w:rPr>
        <w:t>* * * * *</w:t>
      </w:r>
    </w:p>
    <w:p w14:paraId="0AAD32DB" w14:textId="77777777" w:rsidR="00750ED5" w:rsidRDefault="00750ED5">
      <w:pPr>
        <w:pStyle w:val="DFARS"/>
        <w:tabs>
          <w:tab w:val="clear" w:pos="810"/>
          <w:tab w:val="left" w:pos="806"/>
        </w:tabs>
        <w:rPr>
          <w:rFonts w:cs="Arial"/>
          <w:b/>
          <w:szCs w:val="24"/>
        </w:rPr>
      </w:pPr>
    </w:p>
    <w:p w14:paraId="3184B7BA" w14:textId="70C41B6C" w:rsidR="00D213E4" w:rsidRDefault="00BE2F26">
      <w:pPr>
        <w:pStyle w:val="DFARS"/>
        <w:tabs>
          <w:tab w:val="clear" w:pos="810"/>
          <w:tab w:val="left" w:pos="806"/>
        </w:tabs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SUBPART </w:t>
      </w:r>
      <w:r w:rsidR="00D213E4" w:rsidRPr="00D213E4">
        <w:rPr>
          <w:rFonts w:cs="Arial"/>
          <w:b/>
          <w:szCs w:val="24"/>
        </w:rPr>
        <w:t>201.1—PURPOSE, AUTHORITY, ISSUANCE</w:t>
      </w:r>
    </w:p>
    <w:bookmarkEnd w:id="0"/>
    <w:p w14:paraId="68DA9B41" w14:textId="77777777" w:rsidR="00D213E4" w:rsidRPr="00285994" w:rsidRDefault="00D213E4">
      <w:pPr>
        <w:pStyle w:val="DFARS"/>
        <w:tabs>
          <w:tab w:val="clear" w:pos="810"/>
          <w:tab w:val="left" w:pos="806"/>
        </w:tabs>
        <w:rPr>
          <w:rFonts w:cs="Arial"/>
          <w:b/>
          <w:iCs/>
          <w:szCs w:val="24"/>
        </w:rPr>
      </w:pPr>
    </w:p>
    <w:p w14:paraId="2583064C" w14:textId="77777777" w:rsidR="00D213E4" w:rsidRPr="00D213E4" w:rsidRDefault="00D213E4">
      <w:pPr>
        <w:pStyle w:val="DFARS"/>
        <w:tabs>
          <w:tab w:val="clear" w:pos="810"/>
          <w:tab w:val="left" w:pos="806"/>
        </w:tabs>
        <w:rPr>
          <w:rFonts w:cs="Arial"/>
          <w:szCs w:val="24"/>
        </w:rPr>
      </w:pPr>
      <w:r w:rsidRPr="00D213E4">
        <w:rPr>
          <w:rFonts w:cs="Arial"/>
          <w:b/>
          <w:bCs/>
          <w:szCs w:val="24"/>
          <w:lang w:val="en"/>
        </w:rPr>
        <w:t xml:space="preserve">* * * * * </w:t>
      </w:r>
    </w:p>
    <w:p w14:paraId="2E956ADA" w14:textId="77777777" w:rsidR="00D213E4" w:rsidRPr="00D213E4" w:rsidRDefault="00D213E4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b/>
          <w:szCs w:val="24"/>
        </w:rPr>
      </w:pPr>
    </w:p>
    <w:p w14:paraId="3530ED7C" w14:textId="77777777" w:rsidR="00564FF6" w:rsidRDefault="00564FF6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b/>
          <w:szCs w:val="24"/>
        </w:rPr>
      </w:pPr>
      <w:r>
        <w:rPr>
          <w:rFonts w:cs="Courier New"/>
          <w:b/>
          <w:szCs w:val="24"/>
        </w:rPr>
        <w:t>201.170</w:t>
      </w:r>
      <w:bookmarkEnd w:id="1"/>
      <w:r>
        <w:rPr>
          <w:rFonts w:cs="Courier New"/>
          <w:b/>
          <w:szCs w:val="24"/>
        </w:rPr>
        <w:t xml:space="preserve">  Peer reviews.</w:t>
      </w:r>
    </w:p>
    <w:p w14:paraId="3113820B" w14:textId="77777777" w:rsidR="00564FF6" w:rsidRDefault="00564FF6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b/>
          <w:szCs w:val="24"/>
        </w:rPr>
      </w:pPr>
    </w:p>
    <w:p w14:paraId="5470AB39" w14:textId="14547631" w:rsidR="00564FF6" w:rsidRPr="00285994" w:rsidRDefault="00564FF6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iCs/>
          <w:szCs w:val="24"/>
        </w:rPr>
      </w:pPr>
      <w:r>
        <w:rPr>
          <w:rFonts w:cs="Courier New"/>
          <w:szCs w:val="24"/>
        </w:rPr>
        <w:tab/>
        <w:t xml:space="preserve">(a)  </w:t>
      </w:r>
      <w:r w:rsidR="00134C35">
        <w:rPr>
          <w:rFonts w:cs="Courier New"/>
          <w:b/>
          <w:szCs w:val="24"/>
        </w:rPr>
        <w:t>[</w:t>
      </w:r>
      <w:r w:rsidR="00134C35" w:rsidRPr="00F57AA4">
        <w:rPr>
          <w:rFonts w:cs="Courier New"/>
          <w:b/>
          <w:i/>
          <w:iCs/>
          <w:szCs w:val="24"/>
        </w:rPr>
        <w:t>DPC</w:t>
      </w:r>
      <w:r w:rsidR="00134C35">
        <w:rPr>
          <w:rFonts w:cs="Courier New"/>
          <w:b/>
          <w:szCs w:val="24"/>
        </w:rPr>
        <w:t>]</w:t>
      </w:r>
      <w:r w:rsidRPr="00134C35">
        <w:rPr>
          <w:rFonts w:cs="Courier New"/>
          <w:i/>
          <w:strike/>
          <w:szCs w:val="24"/>
        </w:rPr>
        <w:t>DoD</w:t>
      </w:r>
      <w:r w:rsidRPr="00134C35">
        <w:rPr>
          <w:rFonts w:cs="Courier New"/>
          <w:i/>
          <w:szCs w:val="24"/>
        </w:rPr>
        <w:t xml:space="preserve"> </w:t>
      </w:r>
      <w:r>
        <w:rPr>
          <w:rFonts w:cs="Courier New"/>
          <w:i/>
          <w:szCs w:val="24"/>
        </w:rPr>
        <w:t>peer reviews.</w:t>
      </w:r>
    </w:p>
    <w:p w14:paraId="016591A3" w14:textId="77777777" w:rsidR="00564FF6" w:rsidRDefault="00564FF6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szCs w:val="24"/>
        </w:rPr>
      </w:pPr>
    </w:p>
    <w:p w14:paraId="3090CB38" w14:textId="7F170AC9" w:rsidR="00564FF6" w:rsidRPr="00216D01" w:rsidRDefault="00564FF6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szCs w:val="24"/>
        </w:rPr>
      </w:pPr>
      <w:r>
        <w:rPr>
          <w:rFonts w:cs="Courier New"/>
          <w:szCs w:val="24"/>
        </w:rPr>
        <w:tab/>
      </w:r>
      <w:r>
        <w:rPr>
          <w:rFonts w:cs="Courier New"/>
          <w:szCs w:val="24"/>
        </w:rPr>
        <w:tab/>
        <w:t xml:space="preserve">(1)  The Office of the </w:t>
      </w:r>
      <w:r w:rsidR="00B47624">
        <w:rPr>
          <w:rFonts w:cs="Courier New"/>
          <w:b/>
          <w:szCs w:val="24"/>
        </w:rPr>
        <w:t>[Principal ]</w:t>
      </w:r>
      <w:r>
        <w:rPr>
          <w:rFonts w:cs="Courier New"/>
          <w:szCs w:val="24"/>
        </w:rPr>
        <w:t xml:space="preserve">Director, Defense </w:t>
      </w:r>
      <w:r w:rsidR="00113340">
        <w:rPr>
          <w:rFonts w:cs="Courier New"/>
          <w:b/>
          <w:szCs w:val="24"/>
        </w:rPr>
        <w:t>[Pricing and Contracting (DPC)]</w:t>
      </w:r>
      <w:r w:rsidR="00113340" w:rsidRPr="00113340">
        <w:rPr>
          <w:rFonts w:cs="Courier New"/>
          <w:strike/>
          <w:szCs w:val="24"/>
        </w:rPr>
        <w:t>Pro</w:t>
      </w:r>
      <w:r w:rsidRPr="00113340">
        <w:rPr>
          <w:rFonts w:cs="Courier New"/>
          <w:strike/>
          <w:szCs w:val="24"/>
        </w:rPr>
        <w:t xml:space="preserve">ocurement and Acquisition </w:t>
      </w:r>
      <w:r w:rsidRPr="00B47624">
        <w:rPr>
          <w:rFonts w:cs="Courier New"/>
          <w:strike/>
          <w:szCs w:val="24"/>
        </w:rPr>
        <w:t>Policy</w:t>
      </w:r>
      <w:r>
        <w:rPr>
          <w:rFonts w:cs="Courier New"/>
          <w:szCs w:val="24"/>
        </w:rPr>
        <w:t xml:space="preserve">, </w:t>
      </w:r>
      <w:r w:rsidR="00D85252" w:rsidRPr="00F57AA4">
        <w:rPr>
          <w:rFonts w:cs="Courier New"/>
          <w:b/>
          <w:szCs w:val="24"/>
        </w:rPr>
        <w:t>[</w:t>
      </w:r>
      <w:r w:rsidR="00285994" w:rsidRPr="00F57AA4">
        <w:rPr>
          <w:rFonts w:cs="Courier New"/>
          <w:b/>
          <w:szCs w:val="24"/>
        </w:rPr>
        <w:t>using the procedures at PGI 201.170,</w:t>
      </w:r>
      <w:r w:rsidR="00D85252" w:rsidRPr="00F57AA4">
        <w:rPr>
          <w:rFonts w:cs="Courier New"/>
          <w:b/>
          <w:szCs w:val="24"/>
        </w:rPr>
        <w:t>]</w:t>
      </w:r>
      <w:r w:rsidR="00285994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will organize teams of reviewers and facilitate peer reviews for solicitations and contracts</w:t>
      </w:r>
      <w:r w:rsidRPr="00F57AA4">
        <w:rPr>
          <w:rFonts w:cs="Courier New"/>
          <w:strike/>
          <w:szCs w:val="24"/>
        </w:rPr>
        <w:t>,</w:t>
      </w:r>
      <w:r>
        <w:rPr>
          <w:rFonts w:cs="Courier New"/>
          <w:szCs w:val="24"/>
        </w:rPr>
        <w:t xml:space="preserve"> as </w:t>
      </w:r>
      <w:r w:rsidRPr="00216D01">
        <w:rPr>
          <w:rFonts w:cs="Courier New"/>
          <w:szCs w:val="24"/>
        </w:rPr>
        <w:t>follows</w:t>
      </w:r>
      <w:r w:rsidR="00873D39">
        <w:rPr>
          <w:rFonts w:cs="Courier New"/>
          <w:b/>
          <w:szCs w:val="24"/>
        </w:rPr>
        <w:t>[:]</w:t>
      </w:r>
      <w:r w:rsidRPr="00F57AA4">
        <w:rPr>
          <w:rFonts w:cs="Courier New"/>
          <w:strike/>
          <w:szCs w:val="24"/>
        </w:rPr>
        <w:t xml:space="preserve"> using the procedures at PGI 201.170—</w:t>
      </w:r>
    </w:p>
    <w:p w14:paraId="3DD0F53E" w14:textId="77777777" w:rsidR="00564FF6" w:rsidRPr="00216D01" w:rsidRDefault="00564FF6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szCs w:val="24"/>
        </w:rPr>
      </w:pPr>
    </w:p>
    <w:p w14:paraId="7469BE4E" w14:textId="5EA96B19" w:rsidR="00564FF6" w:rsidRDefault="00564FF6">
      <w:pPr>
        <w:pStyle w:val="DFARS"/>
        <w:widowControl w:val="0"/>
        <w:tabs>
          <w:tab w:val="clear" w:pos="810"/>
          <w:tab w:val="left" w:pos="806"/>
        </w:tabs>
        <w:rPr>
          <w:b/>
        </w:rPr>
      </w:pPr>
      <w:r w:rsidRPr="00216D01">
        <w:rPr>
          <w:rFonts w:cs="Courier New"/>
          <w:szCs w:val="24"/>
        </w:rPr>
        <w:tab/>
      </w:r>
      <w:r w:rsidRPr="00216D01">
        <w:rPr>
          <w:rFonts w:cs="Courier New"/>
          <w:szCs w:val="24"/>
        </w:rPr>
        <w:tab/>
      </w:r>
      <w:r w:rsidRPr="00216D01">
        <w:rPr>
          <w:rFonts w:cs="Courier New"/>
          <w:szCs w:val="24"/>
        </w:rPr>
        <w:tab/>
        <w:t xml:space="preserve">(i)  </w:t>
      </w:r>
      <w:r w:rsidR="00B107E7" w:rsidRPr="00216D01">
        <w:rPr>
          <w:rFonts w:cs="Courier New"/>
          <w:b/>
          <w:bCs/>
          <w:szCs w:val="24"/>
        </w:rPr>
        <w:t>[DPC will conduct the</w:t>
      </w:r>
      <w:r w:rsidR="00873D39">
        <w:rPr>
          <w:rFonts w:cs="Courier New"/>
          <w:b/>
          <w:bCs/>
          <w:szCs w:val="24"/>
        </w:rPr>
        <w:t>]</w:t>
      </w:r>
      <w:r w:rsidR="00B107E7" w:rsidRPr="00216D01">
        <w:rPr>
          <w:rFonts w:cs="Courier New"/>
          <w:szCs w:val="24"/>
        </w:rPr>
        <w:t xml:space="preserve"> </w:t>
      </w:r>
      <w:r w:rsidRPr="00216D01">
        <w:rPr>
          <w:rFonts w:cs="Courier New"/>
          <w:strike/>
          <w:szCs w:val="24"/>
        </w:rPr>
        <w:t>P</w:t>
      </w:r>
      <w:r w:rsidR="00873D39" w:rsidRPr="00F57AA4">
        <w:rPr>
          <w:rFonts w:cs="Courier New"/>
          <w:b/>
          <w:szCs w:val="24"/>
        </w:rPr>
        <w:t>[</w:t>
      </w:r>
      <w:r w:rsidR="00B107E7" w:rsidRPr="00216D01">
        <w:rPr>
          <w:rFonts w:cs="Courier New"/>
          <w:b/>
          <w:bCs/>
          <w:szCs w:val="24"/>
        </w:rPr>
        <w:t>p]</w:t>
      </w:r>
      <w:r w:rsidRPr="00216D01">
        <w:rPr>
          <w:rFonts w:cs="Courier New"/>
          <w:szCs w:val="24"/>
        </w:rPr>
        <w:t xml:space="preserve">reaward peer reviews for competitive procurements </w:t>
      </w:r>
      <w:r w:rsidRPr="00216D01">
        <w:rPr>
          <w:rFonts w:cs="Courier New"/>
          <w:strike/>
          <w:szCs w:val="24"/>
        </w:rPr>
        <w:t>will be conducte</w:t>
      </w:r>
      <w:r w:rsidRPr="009722D1">
        <w:rPr>
          <w:rFonts w:cs="Courier New"/>
          <w:strike/>
          <w:szCs w:val="24"/>
        </w:rPr>
        <w:t>d i</w:t>
      </w:r>
      <w:r w:rsidRPr="00216D01">
        <w:rPr>
          <w:rFonts w:cs="Courier New"/>
          <w:strike/>
          <w:szCs w:val="24"/>
        </w:rPr>
        <w:t>n</w:t>
      </w:r>
      <w:r w:rsidRPr="00216D01">
        <w:rPr>
          <w:rFonts w:cs="Courier New"/>
          <w:szCs w:val="24"/>
        </w:rPr>
        <w:t xml:space="preserve"> </w:t>
      </w:r>
      <w:r w:rsidR="00B107E7" w:rsidRPr="00216D01">
        <w:rPr>
          <w:rFonts w:cs="Courier New"/>
          <w:b/>
          <w:szCs w:val="24"/>
        </w:rPr>
        <w:t>[prior to the]</w:t>
      </w:r>
      <w:r w:rsidR="00B107E7" w:rsidRPr="00216D01">
        <w:rPr>
          <w:rFonts w:cs="Courier New"/>
          <w:szCs w:val="24"/>
        </w:rPr>
        <w:t xml:space="preserve"> </w:t>
      </w:r>
      <w:r w:rsidRPr="00216D01">
        <w:rPr>
          <w:rFonts w:cs="Courier New"/>
          <w:szCs w:val="24"/>
        </w:rPr>
        <w:t>three</w:t>
      </w:r>
      <w:r>
        <w:rPr>
          <w:rFonts w:cs="Courier New"/>
          <w:szCs w:val="24"/>
        </w:rPr>
        <w:t xml:space="preserve"> phases </w:t>
      </w:r>
      <w:r w:rsidR="00943EF6" w:rsidRPr="00216D01">
        <w:rPr>
          <w:rFonts w:cs="Courier New"/>
          <w:b/>
          <w:szCs w:val="24"/>
        </w:rPr>
        <w:t>[</w:t>
      </w:r>
      <w:r w:rsidR="00B107E7" w:rsidRPr="00216D01">
        <w:rPr>
          <w:rFonts w:cs="Courier New"/>
          <w:b/>
          <w:szCs w:val="24"/>
        </w:rPr>
        <w:t xml:space="preserve">of the acquisition </w:t>
      </w:r>
      <w:r w:rsidR="00CA002D" w:rsidRPr="00216D01">
        <w:rPr>
          <w:rFonts w:cs="Courier New"/>
          <w:b/>
          <w:szCs w:val="24"/>
        </w:rPr>
        <w:t>(see PGI 201.170-2(a))</w:t>
      </w:r>
      <w:r w:rsidR="00943EF6" w:rsidRPr="00216D01">
        <w:rPr>
          <w:rFonts w:cs="Courier New"/>
          <w:b/>
          <w:szCs w:val="24"/>
        </w:rPr>
        <w:t>]</w:t>
      </w:r>
      <w:r w:rsidR="00CA002D" w:rsidRPr="00216D01">
        <w:rPr>
          <w:rFonts w:cs="Courier New"/>
          <w:szCs w:val="24"/>
        </w:rPr>
        <w:t xml:space="preserve"> </w:t>
      </w:r>
      <w:r w:rsidRPr="00216D01">
        <w:rPr>
          <w:rFonts w:cs="Courier New"/>
          <w:szCs w:val="24"/>
        </w:rPr>
        <w:t xml:space="preserve">for all </w:t>
      </w:r>
      <w:r w:rsidRPr="00216D01">
        <w:rPr>
          <w:rFonts w:cs="Courier New"/>
          <w:strike/>
          <w:szCs w:val="24"/>
        </w:rPr>
        <w:t>solicitations</w:t>
      </w:r>
      <w:r w:rsidR="00216D01" w:rsidRPr="00216D01">
        <w:rPr>
          <w:rFonts w:cs="Courier New"/>
          <w:b/>
          <w:szCs w:val="24"/>
        </w:rPr>
        <w:t xml:space="preserve"> </w:t>
      </w:r>
      <w:r w:rsidR="0006387D" w:rsidRPr="00216D01">
        <w:rPr>
          <w:rFonts w:cs="Courier New"/>
          <w:b/>
          <w:szCs w:val="24"/>
        </w:rPr>
        <w:t>[procurements with an estimated</w:t>
      </w:r>
      <w:r w:rsidR="00873D39">
        <w:rPr>
          <w:rFonts w:cs="Courier New"/>
          <w:b/>
          <w:szCs w:val="24"/>
        </w:rPr>
        <w:t xml:space="preserve"> value of</w:t>
      </w:r>
      <w:r w:rsidR="00834F9F" w:rsidRPr="00216D01">
        <w:rPr>
          <w:rFonts w:cs="Courier New"/>
          <w:b/>
          <w:szCs w:val="24"/>
        </w:rPr>
        <w:t>]</w:t>
      </w:r>
      <w:r w:rsidR="0006387D" w:rsidRPr="00216D01">
        <w:rPr>
          <w:rFonts w:cs="Courier New"/>
          <w:b/>
          <w:szCs w:val="24"/>
        </w:rPr>
        <w:t xml:space="preserve"> </w:t>
      </w:r>
      <w:r w:rsidRPr="00F57AA4">
        <w:rPr>
          <w:rFonts w:cs="Courier New"/>
          <w:strike/>
          <w:szCs w:val="24"/>
        </w:rPr>
        <w:t>value</w:t>
      </w:r>
      <w:r w:rsidRPr="009722D1">
        <w:rPr>
          <w:rFonts w:cs="Courier New"/>
          <w:strike/>
          <w:szCs w:val="24"/>
        </w:rPr>
        <w:t>d a</w:t>
      </w:r>
      <w:r w:rsidRPr="00F57AA4">
        <w:rPr>
          <w:rFonts w:cs="Courier New"/>
          <w:strike/>
          <w:szCs w:val="24"/>
        </w:rPr>
        <w:t>t</w:t>
      </w:r>
      <w:r w:rsidRPr="00216D01">
        <w:rPr>
          <w:rFonts w:cs="Courier New"/>
          <w:szCs w:val="24"/>
        </w:rPr>
        <w:t xml:space="preserve"> $1 billion or more</w:t>
      </w:r>
      <w:r w:rsidR="00535BEB" w:rsidRPr="00216D01">
        <w:rPr>
          <w:rFonts w:cs="Courier New"/>
          <w:b/>
          <w:szCs w:val="24"/>
        </w:rPr>
        <w:t>[</w:t>
      </w:r>
      <w:r w:rsidR="007F4DB0" w:rsidRPr="00216D01">
        <w:rPr>
          <w:rFonts w:cs="Courier New"/>
          <w:szCs w:val="24"/>
        </w:rPr>
        <w:t xml:space="preserve"> </w:t>
      </w:r>
      <w:r w:rsidR="007F4DB0" w:rsidRPr="00216D01">
        <w:rPr>
          <w:rFonts w:cs="Courier New"/>
          <w:b/>
          <w:szCs w:val="24"/>
        </w:rPr>
        <w:t>under</w:t>
      </w:r>
      <w:r w:rsidR="007F4DB0" w:rsidRPr="00216D01">
        <w:rPr>
          <w:b/>
        </w:rPr>
        <w:t xml:space="preserve"> </w:t>
      </w:r>
      <w:r w:rsidRPr="00216D01">
        <w:rPr>
          <w:b/>
        </w:rPr>
        <w:t>major defense acquisition programs for which the Under Secretary of Defense for</w:t>
      </w:r>
      <w:r w:rsidRPr="00564FF6">
        <w:rPr>
          <w:b/>
        </w:rPr>
        <w:t xml:space="preserve"> Acquisition and Sustainment (USD(A&amp;S)) is the milestone decision authority </w:t>
      </w:r>
      <w:r w:rsidR="007F4DB0">
        <w:rPr>
          <w:b/>
        </w:rPr>
        <w:t>or</w:t>
      </w:r>
      <w:r w:rsidR="007F4DB0" w:rsidRPr="00564FF6">
        <w:rPr>
          <w:b/>
        </w:rPr>
        <w:t xml:space="preserve"> </w:t>
      </w:r>
      <w:r w:rsidRPr="00564FF6">
        <w:rPr>
          <w:b/>
        </w:rPr>
        <w:t>U</w:t>
      </w:r>
      <w:r w:rsidR="007054DC">
        <w:rPr>
          <w:b/>
        </w:rPr>
        <w:t xml:space="preserve">SD(A&amp;S) </w:t>
      </w:r>
      <w:r w:rsidR="004B43CF">
        <w:rPr>
          <w:b/>
        </w:rPr>
        <w:t>designates as requiring a peer review</w:t>
      </w:r>
      <w:r w:rsidR="009D6E2A">
        <w:rPr>
          <w:b/>
        </w:rPr>
        <w:t xml:space="preserve"> regardless of value.  </w:t>
      </w:r>
      <w:bookmarkStart w:id="2" w:name="_Hlk81384691"/>
      <w:r w:rsidR="00B107E7" w:rsidRPr="00216D01">
        <w:rPr>
          <w:b/>
        </w:rPr>
        <w:t xml:space="preserve">DoD components may request </w:t>
      </w:r>
      <w:bookmarkEnd w:id="2"/>
      <w:r w:rsidR="009D6E2A" w:rsidRPr="00216D01">
        <w:rPr>
          <w:b/>
        </w:rPr>
        <w:t>DPC</w:t>
      </w:r>
      <w:r w:rsidR="00216D01" w:rsidRPr="00216D01">
        <w:rPr>
          <w:b/>
        </w:rPr>
        <w:t>-</w:t>
      </w:r>
      <w:r w:rsidR="00216D01">
        <w:rPr>
          <w:b/>
        </w:rPr>
        <w:t>l</w:t>
      </w:r>
      <w:r w:rsidR="009D6E2A" w:rsidRPr="00216D01">
        <w:rPr>
          <w:b/>
        </w:rPr>
        <w:t>ed peer reviews for acquisitions valued below the $1 billion threshold</w:t>
      </w:r>
      <w:r w:rsidR="00DB323F" w:rsidRPr="00216D01">
        <w:rPr>
          <w:b/>
        </w:rPr>
        <w:t>.</w:t>
      </w:r>
      <w:r w:rsidR="009D6E2A" w:rsidRPr="00216D01">
        <w:rPr>
          <w:b/>
        </w:rPr>
        <w:t xml:space="preserve"> </w:t>
      </w:r>
      <w:r w:rsidR="009D6E2A" w:rsidRPr="00216D01">
        <w:rPr>
          <w:b/>
          <w:strike/>
        </w:rPr>
        <w:t xml:space="preserve"> </w:t>
      </w:r>
      <w:r w:rsidR="00DB323F" w:rsidRPr="00216D01">
        <w:rPr>
          <w:b/>
        </w:rPr>
        <w:t>DPC will conduct these reviews</w:t>
      </w:r>
      <w:r w:rsidR="004D3A04">
        <w:rPr>
          <w:b/>
        </w:rPr>
        <w:t xml:space="preserve"> </w:t>
      </w:r>
      <w:r w:rsidR="009D6E2A" w:rsidRPr="00216D01">
        <w:rPr>
          <w:b/>
        </w:rPr>
        <w:t>upon approval by the</w:t>
      </w:r>
      <w:r w:rsidR="00FE5786" w:rsidRPr="00216D01">
        <w:rPr>
          <w:b/>
        </w:rPr>
        <w:t xml:space="preserve"> </w:t>
      </w:r>
      <w:r w:rsidR="009D6E2A" w:rsidRPr="00216D01">
        <w:rPr>
          <w:b/>
        </w:rPr>
        <w:t xml:space="preserve">Director, </w:t>
      </w:r>
      <w:r w:rsidR="00FE5786" w:rsidRPr="00216D01">
        <w:rPr>
          <w:b/>
        </w:rPr>
        <w:t>Defense Pricing and Contracting (</w:t>
      </w:r>
      <w:r w:rsidR="009D6E2A" w:rsidRPr="00216D01">
        <w:rPr>
          <w:b/>
        </w:rPr>
        <w:t>Contract Policy</w:t>
      </w:r>
      <w:r w:rsidR="00FE5786" w:rsidRPr="00216D01">
        <w:rPr>
          <w:b/>
        </w:rPr>
        <w:t>)</w:t>
      </w:r>
      <w:r w:rsidR="00873D39">
        <w:rPr>
          <w:b/>
        </w:rPr>
        <w:t>.</w:t>
      </w:r>
      <w:r w:rsidR="00784FF1" w:rsidRPr="00216D01">
        <w:rPr>
          <w:b/>
        </w:rPr>
        <w:t>]</w:t>
      </w:r>
    </w:p>
    <w:p w14:paraId="3A3F4E7F" w14:textId="4D404D09" w:rsidR="00BB5070" w:rsidRDefault="00BB5070">
      <w:pPr>
        <w:pStyle w:val="PlainText"/>
        <w:tabs>
          <w:tab w:val="left" w:pos="360"/>
          <w:tab w:val="left" w:pos="806"/>
          <w:tab w:val="left" w:pos="1170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0"/>
        </w:rPr>
      </w:pPr>
    </w:p>
    <w:p w14:paraId="4563E763" w14:textId="30F981A4" w:rsidR="00DC0D2C" w:rsidRDefault="00BB5070">
      <w:pPr>
        <w:pStyle w:val="PlainText"/>
        <w:tabs>
          <w:tab w:val="left" w:pos="360"/>
          <w:tab w:val="left" w:pos="806"/>
          <w:tab w:val="left" w:pos="1170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  <w:sz w:val="24"/>
          <w:szCs w:val="24"/>
        </w:rPr>
      </w:pPr>
      <w:r w:rsidRPr="00BB5070">
        <w:rPr>
          <w:rFonts w:ascii="Century Schoolbook" w:hAnsi="Century Schoolbook" w:cs="Courier New"/>
          <w:sz w:val="24"/>
          <w:szCs w:val="24"/>
        </w:rPr>
        <w:tab/>
      </w:r>
      <w:r w:rsidR="00574183">
        <w:rPr>
          <w:rFonts w:ascii="Century Schoolbook" w:hAnsi="Century Schoolbook" w:cs="Courier New"/>
          <w:sz w:val="24"/>
          <w:szCs w:val="24"/>
        </w:rPr>
        <w:tab/>
      </w:r>
      <w:r w:rsidR="00574183">
        <w:rPr>
          <w:rFonts w:ascii="Century Schoolbook" w:hAnsi="Century Schoolbook" w:cs="Courier New"/>
          <w:sz w:val="24"/>
          <w:szCs w:val="24"/>
        </w:rPr>
        <w:tab/>
      </w:r>
      <w:r w:rsidRPr="00BB5070">
        <w:rPr>
          <w:rFonts w:ascii="Century Schoolbook" w:hAnsi="Century Schoolbook" w:cs="Courier New"/>
          <w:sz w:val="24"/>
          <w:szCs w:val="24"/>
        </w:rPr>
        <w:t>(ii</w:t>
      </w:r>
      <w:r w:rsidRPr="00763612">
        <w:rPr>
          <w:rFonts w:ascii="Century Schoolbook" w:hAnsi="Century Schoolbook" w:cs="Courier New"/>
          <w:sz w:val="24"/>
          <w:szCs w:val="24"/>
        </w:rPr>
        <w:t xml:space="preserve">)  </w:t>
      </w:r>
      <w:r w:rsidR="00DB323F" w:rsidRPr="00763612">
        <w:rPr>
          <w:rFonts w:ascii="Century Schoolbook" w:hAnsi="Century Schoolbook" w:cs="Courier New"/>
          <w:b/>
          <w:bCs/>
          <w:sz w:val="24"/>
          <w:szCs w:val="24"/>
        </w:rPr>
        <w:t xml:space="preserve">[DPC will conduct </w:t>
      </w:r>
      <w:r w:rsidR="00811FE0" w:rsidRPr="00763612">
        <w:rPr>
          <w:rFonts w:ascii="Century Schoolbook" w:hAnsi="Century Schoolbook" w:cs="Courier New"/>
          <w:b/>
          <w:bCs/>
          <w:sz w:val="24"/>
          <w:szCs w:val="24"/>
        </w:rPr>
        <w:t>the</w:t>
      </w:r>
      <w:r w:rsidR="00DB323F" w:rsidRPr="00763612">
        <w:rPr>
          <w:rFonts w:ascii="Century Schoolbook" w:hAnsi="Century Schoolbook" w:cs="Courier New"/>
          <w:b/>
          <w:bCs/>
          <w:sz w:val="24"/>
          <w:szCs w:val="24"/>
        </w:rPr>
        <w:t>]</w:t>
      </w:r>
      <w:r w:rsidR="00873D39">
        <w:rPr>
          <w:rFonts w:ascii="Century Schoolbook" w:hAnsi="Century Schoolbook" w:cs="Courier New"/>
          <w:b/>
          <w:bCs/>
          <w:sz w:val="24"/>
          <w:szCs w:val="24"/>
        </w:rPr>
        <w:t xml:space="preserve"> </w:t>
      </w:r>
      <w:r w:rsidRPr="00763612">
        <w:rPr>
          <w:rFonts w:ascii="Century Schoolbook" w:hAnsi="Century Schoolbook" w:cs="Courier New"/>
          <w:strike/>
          <w:sz w:val="24"/>
          <w:szCs w:val="24"/>
        </w:rPr>
        <w:t>P</w:t>
      </w:r>
      <w:r w:rsidR="00DC0394" w:rsidRPr="00574183">
        <w:rPr>
          <w:rFonts w:ascii="Century Schoolbook" w:hAnsi="Century Schoolbook" w:cs="Courier New"/>
          <w:b/>
          <w:bCs/>
          <w:sz w:val="24"/>
          <w:szCs w:val="24"/>
        </w:rPr>
        <w:t>[</w:t>
      </w:r>
      <w:r w:rsidR="00DB323F" w:rsidRPr="00763612">
        <w:rPr>
          <w:rFonts w:ascii="Century Schoolbook" w:hAnsi="Century Schoolbook" w:cs="Courier New"/>
          <w:b/>
          <w:sz w:val="24"/>
          <w:szCs w:val="24"/>
        </w:rPr>
        <w:t>p</w:t>
      </w:r>
      <w:r w:rsidR="00DC0394" w:rsidRPr="00763612">
        <w:rPr>
          <w:rFonts w:ascii="Century Schoolbook" w:hAnsi="Century Schoolbook" w:cs="Courier New"/>
          <w:b/>
          <w:sz w:val="24"/>
          <w:szCs w:val="24"/>
        </w:rPr>
        <w:t>]</w:t>
      </w:r>
      <w:r w:rsidRPr="00763612">
        <w:rPr>
          <w:rFonts w:ascii="Century Schoolbook" w:hAnsi="Century Schoolbook" w:cs="Courier New"/>
          <w:sz w:val="24"/>
          <w:szCs w:val="24"/>
        </w:rPr>
        <w:t xml:space="preserve">reaward peer reviews for noncompetitive procurements </w:t>
      </w:r>
      <w:r w:rsidRPr="00763612">
        <w:rPr>
          <w:rFonts w:ascii="Century Schoolbook" w:hAnsi="Century Schoolbook" w:cs="Courier New"/>
          <w:strike/>
          <w:sz w:val="24"/>
          <w:szCs w:val="24"/>
        </w:rPr>
        <w:t>will be conducte</w:t>
      </w:r>
      <w:r w:rsidRPr="009722D1">
        <w:rPr>
          <w:rFonts w:ascii="Century Schoolbook" w:hAnsi="Century Schoolbook" w:cs="Courier New"/>
          <w:strike/>
          <w:sz w:val="24"/>
          <w:szCs w:val="24"/>
        </w:rPr>
        <w:t>d i</w:t>
      </w:r>
      <w:r w:rsidRPr="00763612">
        <w:rPr>
          <w:rFonts w:ascii="Century Schoolbook" w:hAnsi="Century Schoolbook" w:cs="Courier New"/>
          <w:strike/>
          <w:sz w:val="24"/>
          <w:szCs w:val="24"/>
        </w:rPr>
        <w:t>n</w:t>
      </w:r>
      <w:r w:rsidRPr="00763612">
        <w:rPr>
          <w:rFonts w:ascii="Century Schoolbook" w:hAnsi="Century Schoolbook" w:cs="Courier New"/>
          <w:sz w:val="24"/>
          <w:szCs w:val="24"/>
        </w:rPr>
        <w:t xml:space="preserve"> </w:t>
      </w:r>
      <w:r w:rsidR="00B107E7" w:rsidRPr="00763612">
        <w:rPr>
          <w:rFonts w:ascii="Century Schoolbook" w:hAnsi="Century Schoolbook" w:cs="Courier New"/>
          <w:b/>
          <w:bCs/>
          <w:sz w:val="24"/>
          <w:szCs w:val="24"/>
        </w:rPr>
        <w:t>[prior to the</w:t>
      </w:r>
      <w:r w:rsidR="00DB323F" w:rsidRPr="00763612">
        <w:rPr>
          <w:rFonts w:ascii="Century Schoolbook" w:hAnsi="Century Schoolbook" w:cs="Courier New"/>
          <w:b/>
          <w:bCs/>
          <w:sz w:val="24"/>
          <w:szCs w:val="24"/>
        </w:rPr>
        <w:t>]</w:t>
      </w:r>
      <w:r w:rsidR="00DB323F" w:rsidRPr="00763612">
        <w:rPr>
          <w:rFonts w:ascii="Century Schoolbook" w:hAnsi="Century Schoolbook" w:cs="Courier New"/>
          <w:sz w:val="24"/>
          <w:szCs w:val="24"/>
        </w:rPr>
        <w:t xml:space="preserve"> </w:t>
      </w:r>
      <w:r w:rsidRPr="00763612">
        <w:rPr>
          <w:rFonts w:ascii="Century Schoolbook" w:hAnsi="Century Schoolbook" w:cs="Courier New"/>
          <w:sz w:val="24"/>
          <w:szCs w:val="24"/>
        </w:rPr>
        <w:t xml:space="preserve">two phases </w:t>
      </w:r>
      <w:r w:rsidRPr="00763612">
        <w:rPr>
          <w:rFonts w:ascii="Century Schoolbook" w:hAnsi="Century Schoolbook" w:cs="Courier New"/>
          <w:b/>
          <w:sz w:val="24"/>
          <w:szCs w:val="24"/>
        </w:rPr>
        <w:t>[</w:t>
      </w:r>
      <w:r w:rsidR="00DB323F" w:rsidRPr="00763612">
        <w:rPr>
          <w:rFonts w:ascii="Century Schoolbook" w:hAnsi="Century Schoolbook" w:cs="Courier New"/>
          <w:b/>
          <w:sz w:val="24"/>
          <w:szCs w:val="24"/>
        </w:rPr>
        <w:t xml:space="preserve">of the acquisition </w:t>
      </w:r>
      <w:r w:rsidRPr="00763612">
        <w:rPr>
          <w:rFonts w:ascii="Century Schoolbook" w:hAnsi="Century Schoolbook" w:cs="Courier New"/>
          <w:b/>
          <w:sz w:val="24"/>
          <w:szCs w:val="24"/>
        </w:rPr>
        <w:t>(see PGI 201.170-2(b))]</w:t>
      </w:r>
      <w:r w:rsidRPr="00763612">
        <w:rPr>
          <w:rFonts w:ascii="Century Schoolbook" w:hAnsi="Century Schoolbook" w:cs="Courier New"/>
          <w:sz w:val="24"/>
          <w:szCs w:val="24"/>
        </w:rPr>
        <w:t xml:space="preserve"> for </w:t>
      </w:r>
      <w:r w:rsidRPr="00763612">
        <w:rPr>
          <w:rFonts w:ascii="Century Schoolbook" w:hAnsi="Century Schoolbook" w:cs="Courier New"/>
          <w:strike/>
          <w:sz w:val="24"/>
          <w:szCs w:val="24"/>
        </w:rPr>
        <w:t xml:space="preserve">new </w:t>
      </w:r>
      <w:r w:rsidRPr="00763612">
        <w:rPr>
          <w:rFonts w:ascii="Century Schoolbook" w:hAnsi="Century Schoolbook" w:cs="Courier New"/>
          <w:sz w:val="24"/>
          <w:szCs w:val="24"/>
        </w:rPr>
        <w:t>contract actions</w:t>
      </w:r>
      <w:r w:rsidR="00DC0D2C" w:rsidRPr="00763612">
        <w:rPr>
          <w:rFonts w:ascii="Century Schoolbook" w:hAnsi="Century Schoolbook" w:cs="Courier New"/>
          <w:b/>
          <w:sz w:val="24"/>
          <w:szCs w:val="24"/>
        </w:rPr>
        <w:t>[</w:t>
      </w:r>
      <w:r w:rsidR="008E34EA">
        <w:rPr>
          <w:rFonts w:ascii="Century Schoolbook" w:hAnsi="Century Schoolbook" w:cs="Courier New"/>
          <w:b/>
          <w:sz w:val="24"/>
          <w:szCs w:val="24"/>
        </w:rPr>
        <w:t>,</w:t>
      </w:r>
      <w:r w:rsidR="00873D39">
        <w:rPr>
          <w:rFonts w:ascii="Century Schoolbook" w:hAnsi="Century Schoolbook" w:cs="Courier New"/>
          <w:b/>
          <w:sz w:val="24"/>
          <w:szCs w:val="24"/>
        </w:rPr>
        <w:t xml:space="preserve"> </w:t>
      </w:r>
      <w:r w:rsidR="00DC0D2C" w:rsidRPr="00763612">
        <w:rPr>
          <w:rFonts w:ascii="Century Schoolbook" w:hAnsi="Century Schoolbook" w:cs="Courier New"/>
          <w:b/>
          <w:sz w:val="24"/>
          <w:szCs w:val="24"/>
        </w:rPr>
        <w:t>e.g., new contracts, modifications to existing cont</w:t>
      </w:r>
      <w:r w:rsidR="00407EC9" w:rsidRPr="00763612">
        <w:rPr>
          <w:rFonts w:ascii="Century Schoolbook" w:hAnsi="Century Schoolbook" w:cs="Courier New"/>
          <w:b/>
          <w:sz w:val="24"/>
          <w:szCs w:val="24"/>
        </w:rPr>
        <w:t>racts, requests for equitable</w:t>
      </w:r>
      <w:r w:rsidR="00DC0D2C" w:rsidRPr="00763612">
        <w:rPr>
          <w:rFonts w:ascii="Century Schoolbook" w:hAnsi="Century Schoolbook" w:cs="Courier New"/>
          <w:b/>
          <w:sz w:val="24"/>
          <w:szCs w:val="24"/>
        </w:rPr>
        <w:t xml:space="preserve"> adjustment, claims ]</w:t>
      </w:r>
      <w:r w:rsidRPr="00763612">
        <w:rPr>
          <w:rFonts w:ascii="Century Schoolbook" w:hAnsi="Century Schoolbook" w:cs="Courier New"/>
          <w:sz w:val="24"/>
          <w:szCs w:val="24"/>
        </w:rPr>
        <w:t>valued at $</w:t>
      </w:r>
      <w:r w:rsidRPr="00763612">
        <w:rPr>
          <w:rFonts w:ascii="Century Schoolbook" w:hAnsi="Century Schoolbook" w:cs="Courier New"/>
          <w:b/>
          <w:sz w:val="24"/>
          <w:szCs w:val="24"/>
        </w:rPr>
        <w:t>[</w:t>
      </w:r>
      <w:r w:rsidR="00DC571A" w:rsidRPr="00763612">
        <w:rPr>
          <w:rFonts w:ascii="Century Schoolbook" w:hAnsi="Century Schoolbook" w:cs="Courier New"/>
          <w:b/>
          <w:sz w:val="24"/>
          <w:szCs w:val="24"/>
        </w:rPr>
        <w:t>1 billion</w:t>
      </w:r>
      <w:r w:rsidRPr="00763612">
        <w:rPr>
          <w:rFonts w:ascii="Century Schoolbook" w:hAnsi="Century Schoolbook" w:cs="Courier New"/>
          <w:b/>
          <w:sz w:val="24"/>
          <w:szCs w:val="24"/>
        </w:rPr>
        <w:t>]</w:t>
      </w:r>
      <w:r w:rsidRPr="00763612">
        <w:rPr>
          <w:rFonts w:ascii="Century Schoolbook" w:hAnsi="Century Schoolbook" w:cs="Courier New"/>
          <w:strike/>
          <w:sz w:val="24"/>
          <w:szCs w:val="24"/>
        </w:rPr>
        <w:t>500 million</w:t>
      </w:r>
      <w:r w:rsidRPr="00763612">
        <w:rPr>
          <w:rFonts w:ascii="Century Schoolbook" w:hAnsi="Century Schoolbook" w:cs="Courier New"/>
          <w:sz w:val="24"/>
          <w:szCs w:val="24"/>
        </w:rPr>
        <w:t xml:space="preserve"> or more</w:t>
      </w:r>
      <w:r w:rsidR="001B6718" w:rsidRPr="00763612">
        <w:rPr>
          <w:rFonts w:ascii="Century Schoolbook" w:hAnsi="Century Schoolbook" w:cs="Courier New"/>
          <w:b/>
          <w:sz w:val="24"/>
          <w:szCs w:val="24"/>
        </w:rPr>
        <w:t>[,</w:t>
      </w:r>
      <w:r w:rsidR="00191D23" w:rsidRPr="00763612">
        <w:rPr>
          <w:rFonts w:ascii="Century Schoolbook" w:hAnsi="Century Schoolbook" w:cs="Courier New"/>
          <w:b/>
          <w:sz w:val="24"/>
          <w:szCs w:val="24"/>
        </w:rPr>
        <w:t xml:space="preserve"> </w:t>
      </w:r>
      <w:r w:rsidR="001B6718" w:rsidRPr="00763612">
        <w:rPr>
          <w:rFonts w:ascii="Century Schoolbook" w:hAnsi="Century Schoolbook" w:cs="Courier New"/>
          <w:b/>
          <w:sz w:val="24"/>
          <w:szCs w:val="24"/>
        </w:rPr>
        <w:t>or for any ot</w:t>
      </w:r>
      <w:r w:rsidR="001B6718">
        <w:rPr>
          <w:rFonts w:ascii="Century Schoolbook" w:hAnsi="Century Schoolbook" w:cs="Courier New"/>
          <w:b/>
          <w:sz w:val="24"/>
          <w:szCs w:val="24"/>
        </w:rPr>
        <w:t xml:space="preserve">her contract action </w:t>
      </w:r>
      <w:r w:rsidR="001B13B2" w:rsidRPr="001B13B2">
        <w:rPr>
          <w:rFonts w:ascii="Century Schoolbook" w:hAnsi="Century Schoolbook" w:cs="Courier New"/>
          <w:b/>
          <w:sz w:val="24"/>
          <w:szCs w:val="24"/>
        </w:rPr>
        <w:t>USD(A&amp;S)</w:t>
      </w:r>
      <w:r w:rsidR="00DC0D2C">
        <w:rPr>
          <w:rFonts w:ascii="Century Schoolbook" w:hAnsi="Century Schoolbook" w:cs="Courier New"/>
          <w:b/>
          <w:sz w:val="24"/>
          <w:szCs w:val="24"/>
        </w:rPr>
        <w:t xml:space="preserve"> </w:t>
      </w:r>
      <w:r w:rsidR="008E34EA">
        <w:rPr>
          <w:rFonts w:ascii="Century Schoolbook" w:hAnsi="Century Schoolbook" w:cs="Courier New"/>
          <w:b/>
          <w:sz w:val="24"/>
          <w:szCs w:val="24"/>
        </w:rPr>
        <w:t xml:space="preserve">designates </w:t>
      </w:r>
      <w:r w:rsidR="00DC0D2C">
        <w:rPr>
          <w:rFonts w:ascii="Century Schoolbook" w:hAnsi="Century Schoolbook" w:cs="Courier New"/>
          <w:b/>
          <w:sz w:val="24"/>
          <w:szCs w:val="24"/>
        </w:rPr>
        <w:t>as requiring a</w:t>
      </w:r>
      <w:r w:rsidR="00193E61">
        <w:rPr>
          <w:rFonts w:ascii="Century Schoolbook" w:hAnsi="Century Schoolbook" w:cs="Courier New"/>
          <w:b/>
          <w:sz w:val="24"/>
          <w:szCs w:val="24"/>
        </w:rPr>
        <w:t xml:space="preserve"> peer review regardless of valu</w:t>
      </w:r>
      <w:r w:rsidR="00DC0D2C">
        <w:rPr>
          <w:rFonts w:ascii="Century Schoolbook" w:hAnsi="Century Schoolbook" w:cs="Courier New"/>
          <w:b/>
          <w:sz w:val="24"/>
          <w:szCs w:val="24"/>
        </w:rPr>
        <w:t>e</w:t>
      </w:r>
      <w:r w:rsidR="001B6718" w:rsidRPr="00763612">
        <w:rPr>
          <w:rFonts w:ascii="Century Schoolbook" w:hAnsi="Century Schoolbook" w:cs="Courier New"/>
          <w:b/>
          <w:sz w:val="24"/>
          <w:szCs w:val="24"/>
        </w:rPr>
        <w:t xml:space="preserve">.  </w:t>
      </w:r>
      <w:r w:rsidR="00DB323F" w:rsidRPr="00763612">
        <w:rPr>
          <w:rFonts w:ascii="Century Schoolbook" w:hAnsi="Century Schoolbook" w:cs="Courier New"/>
          <w:b/>
          <w:sz w:val="24"/>
          <w:szCs w:val="24"/>
        </w:rPr>
        <w:t>D</w:t>
      </w:r>
      <w:r w:rsidR="00763612" w:rsidRPr="00763612">
        <w:rPr>
          <w:rFonts w:ascii="Century Schoolbook" w:hAnsi="Century Schoolbook" w:cs="Courier New"/>
          <w:b/>
          <w:sz w:val="24"/>
          <w:szCs w:val="24"/>
        </w:rPr>
        <w:t>o</w:t>
      </w:r>
      <w:r w:rsidR="00DB323F" w:rsidRPr="00763612">
        <w:rPr>
          <w:rFonts w:ascii="Century Schoolbook" w:hAnsi="Century Schoolbook" w:cs="Courier New"/>
          <w:b/>
          <w:sz w:val="24"/>
          <w:szCs w:val="24"/>
        </w:rPr>
        <w:t xml:space="preserve">D components may request </w:t>
      </w:r>
      <w:r w:rsidR="00DC0D2C" w:rsidRPr="00763612">
        <w:rPr>
          <w:rFonts w:ascii="Century Schoolbook" w:hAnsi="Century Schoolbook"/>
          <w:b/>
          <w:sz w:val="24"/>
          <w:szCs w:val="24"/>
        </w:rPr>
        <w:t>DPC</w:t>
      </w:r>
      <w:r w:rsidR="00DB323F" w:rsidRPr="00763612">
        <w:rPr>
          <w:rFonts w:ascii="Century Schoolbook" w:hAnsi="Century Schoolbook"/>
          <w:b/>
          <w:sz w:val="24"/>
          <w:szCs w:val="24"/>
        </w:rPr>
        <w:t>-</w:t>
      </w:r>
      <w:r w:rsidR="00DC0D2C" w:rsidRPr="00763612">
        <w:rPr>
          <w:rFonts w:ascii="Century Schoolbook" w:hAnsi="Century Schoolbook"/>
          <w:b/>
          <w:sz w:val="24"/>
          <w:szCs w:val="24"/>
        </w:rPr>
        <w:t xml:space="preserve">led peer reviews for </w:t>
      </w:r>
      <w:r w:rsidR="00193E61" w:rsidRPr="00763612">
        <w:rPr>
          <w:rFonts w:ascii="Century Schoolbook" w:hAnsi="Century Schoolbook"/>
          <w:b/>
          <w:sz w:val="24"/>
          <w:szCs w:val="24"/>
        </w:rPr>
        <w:t>contract actions</w:t>
      </w:r>
      <w:r w:rsidR="00DC0D2C" w:rsidRPr="00763612">
        <w:rPr>
          <w:rFonts w:ascii="Century Schoolbook" w:hAnsi="Century Schoolbook"/>
          <w:b/>
          <w:sz w:val="24"/>
          <w:szCs w:val="24"/>
        </w:rPr>
        <w:t xml:space="preserve"> valued below the $1 billion threshold</w:t>
      </w:r>
      <w:r w:rsidR="00763612" w:rsidRPr="00763612">
        <w:rPr>
          <w:rFonts w:ascii="Century Schoolbook" w:hAnsi="Century Schoolbook"/>
          <w:b/>
          <w:sz w:val="24"/>
          <w:szCs w:val="24"/>
        </w:rPr>
        <w:t xml:space="preserve">.  </w:t>
      </w:r>
      <w:r w:rsidR="00DB323F" w:rsidRPr="00763612">
        <w:rPr>
          <w:rFonts w:ascii="Century Schoolbook" w:hAnsi="Century Schoolbook"/>
          <w:b/>
          <w:sz w:val="24"/>
          <w:szCs w:val="24"/>
        </w:rPr>
        <w:t>DPC will conduct these reviews u</w:t>
      </w:r>
      <w:r w:rsidR="00DC0D2C" w:rsidRPr="00763612">
        <w:rPr>
          <w:rFonts w:ascii="Century Schoolbook" w:hAnsi="Century Schoolbook"/>
          <w:b/>
          <w:sz w:val="24"/>
          <w:szCs w:val="24"/>
        </w:rPr>
        <w:t xml:space="preserve">pon approval by the </w:t>
      </w:r>
      <w:r w:rsidR="00B96D01" w:rsidRPr="00763612">
        <w:rPr>
          <w:rFonts w:ascii="Century Schoolbook" w:hAnsi="Century Schoolbook" w:cs="Courier New"/>
          <w:b/>
          <w:sz w:val="24"/>
          <w:szCs w:val="24"/>
        </w:rPr>
        <w:t xml:space="preserve">Director, </w:t>
      </w:r>
      <w:r w:rsidR="00FE5786" w:rsidRPr="00763612">
        <w:rPr>
          <w:rFonts w:ascii="Century Schoolbook" w:hAnsi="Century Schoolbook" w:cs="Courier New"/>
          <w:b/>
          <w:sz w:val="24"/>
          <w:szCs w:val="24"/>
        </w:rPr>
        <w:t>Defense Pricing and Contracting (</w:t>
      </w:r>
      <w:r w:rsidR="00B96D01" w:rsidRPr="00763612">
        <w:rPr>
          <w:rFonts w:ascii="Century Schoolbook" w:hAnsi="Century Schoolbook" w:cs="Courier New"/>
          <w:b/>
          <w:sz w:val="24"/>
          <w:szCs w:val="24"/>
        </w:rPr>
        <w:t>Price, Cost and Finance</w:t>
      </w:r>
      <w:r w:rsidR="00FE5786" w:rsidRPr="00763612">
        <w:rPr>
          <w:rFonts w:ascii="Century Schoolbook" w:hAnsi="Century Schoolbook" w:cs="Courier New"/>
          <w:b/>
          <w:sz w:val="24"/>
          <w:szCs w:val="24"/>
        </w:rPr>
        <w:t>)</w:t>
      </w:r>
      <w:r w:rsidR="00763612">
        <w:rPr>
          <w:rFonts w:ascii="Century Schoolbook" w:hAnsi="Century Schoolbook" w:cs="Courier New"/>
          <w:b/>
          <w:sz w:val="24"/>
          <w:szCs w:val="24"/>
        </w:rPr>
        <w:t>.</w:t>
      </w:r>
    </w:p>
    <w:p w14:paraId="24F1A73D" w14:textId="77777777" w:rsidR="00DC0D2C" w:rsidRDefault="00DC0D2C">
      <w:pPr>
        <w:pStyle w:val="PlainText"/>
        <w:tabs>
          <w:tab w:val="left" w:pos="360"/>
          <w:tab w:val="left" w:pos="806"/>
          <w:tab w:val="left" w:pos="1170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  <w:sz w:val="24"/>
          <w:szCs w:val="24"/>
        </w:rPr>
      </w:pPr>
    </w:p>
    <w:p w14:paraId="40EEA13D" w14:textId="0C242F07" w:rsidR="00C76DD4" w:rsidRPr="004D3A04" w:rsidRDefault="00DC0D2C">
      <w:pPr>
        <w:pStyle w:val="PlainText"/>
        <w:tabs>
          <w:tab w:val="left" w:pos="360"/>
          <w:tab w:val="left" w:pos="806"/>
          <w:tab w:val="left" w:pos="1170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  <w:sz w:val="24"/>
          <w:szCs w:val="24"/>
        </w:rPr>
      </w:pPr>
      <w:r>
        <w:rPr>
          <w:rFonts w:ascii="Century Schoolbook" w:hAnsi="Century Schoolbook" w:cs="Courier New"/>
          <w:b/>
          <w:sz w:val="24"/>
          <w:szCs w:val="24"/>
        </w:rPr>
        <w:tab/>
      </w:r>
      <w:r w:rsidR="00574183">
        <w:rPr>
          <w:rFonts w:ascii="Century Schoolbook" w:hAnsi="Century Schoolbook" w:cs="Courier New"/>
          <w:b/>
          <w:sz w:val="24"/>
          <w:szCs w:val="24"/>
        </w:rPr>
        <w:tab/>
      </w:r>
      <w:r w:rsidR="00574183">
        <w:rPr>
          <w:rFonts w:ascii="Century Schoolbook" w:hAnsi="Century Schoolbook" w:cs="Courier New"/>
          <w:b/>
          <w:sz w:val="24"/>
          <w:szCs w:val="24"/>
        </w:rPr>
        <w:tab/>
      </w:r>
      <w:r>
        <w:rPr>
          <w:rFonts w:ascii="Century Schoolbook" w:hAnsi="Century Schoolbook" w:cs="Courier New"/>
          <w:b/>
          <w:sz w:val="24"/>
          <w:szCs w:val="24"/>
        </w:rPr>
        <w:t>(</w:t>
      </w:r>
      <w:r w:rsidRPr="004D3A04">
        <w:rPr>
          <w:rFonts w:ascii="Century Schoolbook" w:hAnsi="Century Schoolbook" w:cs="Courier New"/>
          <w:b/>
          <w:sz w:val="24"/>
          <w:szCs w:val="24"/>
        </w:rPr>
        <w:t xml:space="preserve">iii) </w:t>
      </w:r>
      <w:r w:rsidR="004D3A04" w:rsidRPr="004D3A04">
        <w:rPr>
          <w:rFonts w:ascii="Century Schoolbook" w:hAnsi="Century Schoolbook" w:cs="Courier New"/>
          <w:b/>
          <w:sz w:val="24"/>
          <w:szCs w:val="24"/>
        </w:rPr>
        <w:t xml:space="preserve"> </w:t>
      </w:r>
      <w:r w:rsidR="00A766F7" w:rsidRPr="004D3A04">
        <w:rPr>
          <w:rFonts w:ascii="Century Schoolbook" w:hAnsi="Century Schoolbook" w:cs="Courier New"/>
          <w:b/>
          <w:sz w:val="24"/>
          <w:szCs w:val="24"/>
        </w:rPr>
        <w:t>Use</w:t>
      </w:r>
      <w:r w:rsidR="004D3A04" w:rsidRPr="004D3A04">
        <w:rPr>
          <w:rFonts w:ascii="Century Schoolbook" w:hAnsi="Century Schoolbook" w:cs="Courier New"/>
          <w:b/>
          <w:sz w:val="24"/>
          <w:szCs w:val="24"/>
        </w:rPr>
        <w:t xml:space="preserve"> t</w:t>
      </w:r>
      <w:r w:rsidR="001B6718" w:rsidRPr="004D3A04">
        <w:rPr>
          <w:rFonts w:ascii="Century Schoolbook" w:hAnsi="Century Schoolbook" w:cs="Courier New"/>
          <w:b/>
          <w:sz w:val="24"/>
          <w:szCs w:val="24"/>
        </w:rPr>
        <w:t xml:space="preserve">he following </w:t>
      </w:r>
      <w:r w:rsidR="00A766F7" w:rsidRPr="004D3A04">
        <w:rPr>
          <w:rFonts w:ascii="Century Schoolbook" w:hAnsi="Century Schoolbook" w:cs="Courier New"/>
          <w:b/>
          <w:sz w:val="24"/>
          <w:szCs w:val="24"/>
        </w:rPr>
        <w:t>criteria</w:t>
      </w:r>
      <w:r w:rsidR="004D3A04" w:rsidRPr="004D3A04">
        <w:rPr>
          <w:rFonts w:ascii="Century Schoolbook" w:hAnsi="Century Schoolbook" w:cs="Courier New"/>
          <w:b/>
          <w:sz w:val="24"/>
          <w:szCs w:val="24"/>
        </w:rPr>
        <w:t xml:space="preserve"> </w:t>
      </w:r>
      <w:r w:rsidR="00A766F7" w:rsidRPr="004D3A04">
        <w:rPr>
          <w:rFonts w:ascii="Century Schoolbook" w:hAnsi="Century Schoolbook" w:cs="Courier New"/>
          <w:b/>
          <w:sz w:val="24"/>
          <w:szCs w:val="24"/>
        </w:rPr>
        <w:t>to</w:t>
      </w:r>
      <w:r w:rsidR="004D3A04" w:rsidRPr="004D3A04">
        <w:rPr>
          <w:rFonts w:ascii="Century Schoolbook" w:hAnsi="Century Schoolbook" w:cs="Courier New"/>
          <w:b/>
          <w:sz w:val="24"/>
          <w:szCs w:val="24"/>
        </w:rPr>
        <w:t xml:space="preserve"> </w:t>
      </w:r>
      <w:r w:rsidR="00A766F7" w:rsidRPr="004D3A04">
        <w:rPr>
          <w:rFonts w:ascii="Century Schoolbook" w:hAnsi="Century Schoolbook" w:cs="Courier New"/>
          <w:b/>
          <w:sz w:val="24"/>
          <w:szCs w:val="24"/>
        </w:rPr>
        <w:t xml:space="preserve">identify </w:t>
      </w:r>
      <w:r w:rsidR="001B6718" w:rsidRPr="004D3A04">
        <w:rPr>
          <w:rFonts w:ascii="Century Schoolbook" w:hAnsi="Century Schoolbook" w:cs="Courier New"/>
          <w:b/>
          <w:sz w:val="24"/>
          <w:szCs w:val="24"/>
        </w:rPr>
        <w:t xml:space="preserve">actions </w:t>
      </w:r>
      <w:r w:rsidR="00574183">
        <w:rPr>
          <w:rFonts w:ascii="Century Schoolbook" w:hAnsi="Century Schoolbook" w:cs="Courier New"/>
          <w:b/>
          <w:sz w:val="24"/>
          <w:szCs w:val="24"/>
        </w:rPr>
        <w:t xml:space="preserve">that </w:t>
      </w:r>
      <w:r w:rsidR="001B6718" w:rsidRPr="004D3A04">
        <w:rPr>
          <w:rFonts w:ascii="Century Schoolbook" w:hAnsi="Century Schoolbook" w:cs="Courier New"/>
          <w:b/>
          <w:sz w:val="24"/>
          <w:szCs w:val="24"/>
        </w:rPr>
        <w:t>are subject to peer review</w:t>
      </w:r>
      <w:r w:rsidR="0006387D" w:rsidRPr="004D3A04">
        <w:rPr>
          <w:rFonts w:ascii="Century Schoolbook" w:hAnsi="Century Schoolbook" w:cs="Courier New"/>
          <w:b/>
          <w:sz w:val="24"/>
          <w:szCs w:val="24"/>
        </w:rPr>
        <w:t xml:space="preserve"> (see also FAR 1.108(c)</w:t>
      </w:r>
      <w:r w:rsidR="00574183">
        <w:rPr>
          <w:rFonts w:ascii="Century Schoolbook" w:hAnsi="Century Schoolbook" w:cs="Courier New"/>
          <w:b/>
          <w:sz w:val="24"/>
          <w:szCs w:val="24"/>
        </w:rPr>
        <w:t>,</w:t>
      </w:r>
      <w:r w:rsidR="00F6645B" w:rsidRPr="004D3A04">
        <w:rPr>
          <w:rFonts w:ascii="Century Schoolbook" w:hAnsi="Century Schoolbook" w:cs="Courier New"/>
          <w:b/>
          <w:sz w:val="24"/>
          <w:szCs w:val="24"/>
        </w:rPr>
        <w:t xml:space="preserve"> Dollar </w:t>
      </w:r>
      <w:r w:rsidR="00A766F7" w:rsidRPr="004D3A04">
        <w:rPr>
          <w:rFonts w:ascii="Century Schoolbook" w:hAnsi="Century Schoolbook" w:cs="Courier New"/>
          <w:b/>
          <w:sz w:val="24"/>
          <w:szCs w:val="24"/>
        </w:rPr>
        <w:t>t</w:t>
      </w:r>
      <w:r w:rsidR="00F6645B" w:rsidRPr="004D3A04">
        <w:rPr>
          <w:rFonts w:ascii="Century Schoolbook" w:hAnsi="Century Schoolbook" w:cs="Courier New"/>
          <w:b/>
          <w:sz w:val="24"/>
          <w:szCs w:val="24"/>
        </w:rPr>
        <w:t>hresholds</w:t>
      </w:r>
      <w:r w:rsidR="005101BF" w:rsidRPr="004D3A04">
        <w:rPr>
          <w:rFonts w:ascii="Century Schoolbook" w:hAnsi="Century Schoolbook" w:cs="Courier New"/>
          <w:b/>
          <w:sz w:val="24"/>
          <w:szCs w:val="24"/>
        </w:rPr>
        <w:t>)</w:t>
      </w:r>
      <w:r w:rsidR="001B6718" w:rsidRPr="004D3A04">
        <w:rPr>
          <w:rFonts w:ascii="Century Schoolbook" w:hAnsi="Century Schoolbook" w:cs="Courier New"/>
          <w:b/>
          <w:sz w:val="24"/>
          <w:szCs w:val="24"/>
        </w:rPr>
        <w:t>:</w:t>
      </w:r>
    </w:p>
    <w:p w14:paraId="4E9EC87D" w14:textId="6560DFA2" w:rsidR="00C76DD4" w:rsidRPr="004D3A04" w:rsidRDefault="00C76DD4">
      <w:pPr>
        <w:pStyle w:val="PlainText"/>
        <w:tabs>
          <w:tab w:val="left" w:pos="360"/>
          <w:tab w:val="left" w:pos="806"/>
          <w:tab w:val="left" w:pos="1170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  <w:sz w:val="24"/>
          <w:szCs w:val="24"/>
        </w:rPr>
      </w:pPr>
    </w:p>
    <w:p w14:paraId="50703E37" w14:textId="4A8AC37C" w:rsidR="00C76DD4" w:rsidRDefault="00C76DD4" w:rsidP="00F57AA4">
      <w:pPr>
        <w:pStyle w:val="PlainText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  <w:sz w:val="24"/>
          <w:szCs w:val="24"/>
        </w:rPr>
      </w:pPr>
      <w:r w:rsidRPr="004D3A04">
        <w:rPr>
          <w:rFonts w:ascii="Century Schoolbook" w:hAnsi="Century Schoolbook" w:cs="Courier New"/>
          <w:b/>
          <w:sz w:val="24"/>
          <w:szCs w:val="24"/>
        </w:rPr>
        <w:tab/>
      </w:r>
      <w:r w:rsidRPr="004D3A04">
        <w:rPr>
          <w:rFonts w:ascii="Century Schoolbook" w:hAnsi="Century Schoolbook" w:cs="Courier New"/>
          <w:b/>
          <w:sz w:val="24"/>
          <w:szCs w:val="24"/>
        </w:rPr>
        <w:tab/>
      </w:r>
      <w:r w:rsidR="00574183">
        <w:rPr>
          <w:rFonts w:ascii="Century Schoolbook" w:hAnsi="Century Schoolbook" w:cs="Courier New"/>
          <w:b/>
          <w:sz w:val="24"/>
          <w:szCs w:val="24"/>
        </w:rPr>
        <w:tab/>
      </w:r>
      <w:r w:rsidR="00574183">
        <w:rPr>
          <w:rFonts w:ascii="Century Schoolbook" w:hAnsi="Century Schoolbook" w:cs="Courier New"/>
          <w:b/>
          <w:sz w:val="24"/>
          <w:szCs w:val="24"/>
        </w:rPr>
        <w:tab/>
      </w:r>
      <w:r w:rsidRPr="004D3A04">
        <w:rPr>
          <w:rFonts w:ascii="Century Schoolbook" w:hAnsi="Century Schoolbook" w:cs="Courier New"/>
          <w:b/>
          <w:sz w:val="24"/>
          <w:szCs w:val="24"/>
        </w:rPr>
        <w:t>(A)</w:t>
      </w:r>
      <w:r w:rsidRPr="004D3A04">
        <w:rPr>
          <w:rFonts w:ascii="Century Schoolbook" w:hAnsi="Century Schoolbook" w:cs="Courier New"/>
          <w:b/>
          <w:i/>
          <w:sz w:val="24"/>
          <w:szCs w:val="24"/>
        </w:rPr>
        <w:t xml:space="preserve"> </w:t>
      </w:r>
      <w:r w:rsidRPr="004D3A04">
        <w:rPr>
          <w:rFonts w:ascii="Century Schoolbook" w:hAnsi="Century Schoolbook" w:cs="Courier New"/>
          <w:b/>
          <w:sz w:val="24"/>
          <w:szCs w:val="24"/>
        </w:rPr>
        <w:t xml:space="preserve"> If </w:t>
      </w:r>
      <w:r w:rsidR="005101BF" w:rsidRPr="004D3A04">
        <w:rPr>
          <w:rFonts w:ascii="Century Schoolbook" w:hAnsi="Century Schoolbook" w:cs="Courier New"/>
          <w:b/>
          <w:sz w:val="24"/>
          <w:szCs w:val="24"/>
        </w:rPr>
        <w:t xml:space="preserve">the not-to-exceed amount for </w:t>
      </w:r>
      <w:r w:rsidRPr="004D3A04">
        <w:rPr>
          <w:rFonts w:ascii="Century Schoolbook" w:hAnsi="Century Schoolbook" w:cs="Courier New"/>
          <w:b/>
          <w:sz w:val="24"/>
          <w:szCs w:val="24"/>
        </w:rPr>
        <w:t xml:space="preserve">an undefinitized contract action or an unpriced change order exceeds the peer review threshold, </w:t>
      </w:r>
      <w:r w:rsidRPr="004D3A04">
        <w:rPr>
          <w:rFonts w:ascii="Century Schoolbook" w:hAnsi="Century Schoolbook" w:cs="Courier New"/>
          <w:b/>
          <w:sz w:val="24"/>
          <w:szCs w:val="24"/>
        </w:rPr>
        <w:lastRenderedPageBreak/>
        <w:t xml:space="preserve">then the resultant definitization modification(s) </w:t>
      </w:r>
      <w:r w:rsidR="00022781" w:rsidRPr="004D3A04">
        <w:rPr>
          <w:rFonts w:ascii="Century Schoolbook" w:hAnsi="Century Schoolbook" w:cs="Courier New"/>
          <w:b/>
          <w:sz w:val="24"/>
          <w:szCs w:val="24"/>
        </w:rPr>
        <w:t>will be</w:t>
      </w:r>
      <w:r w:rsidRPr="004D3A04">
        <w:rPr>
          <w:rFonts w:ascii="Century Schoolbook" w:hAnsi="Century Schoolbook" w:cs="Courier New"/>
          <w:b/>
          <w:sz w:val="24"/>
          <w:szCs w:val="24"/>
        </w:rPr>
        <w:t xml:space="preserve"> subject to peer review</w:t>
      </w:r>
      <w:r w:rsidR="005101BF" w:rsidRPr="004D3A04">
        <w:rPr>
          <w:rFonts w:ascii="Century Schoolbook" w:hAnsi="Century Schoolbook" w:cs="Courier New"/>
          <w:b/>
          <w:sz w:val="24"/>
          <w:szCs w:val="24"/>
        </w:rPr>
        <w:t xml:space="preserve"> </w:t>
      </w:r>
      <w:r w:rsidR="008E34EA">
        <w:rPr>
          <w:rFonts w:ascii="Century Schoolbook" w:hAnsi="Century Schoolbook" w:cs="Courier New"/>
          <w:b/>
          <w:sz w:val="24"/>
          <w:szCs w:val="24"/>
        </w:rPr>
        <w:t xml:space="preserve">regardless </w:t>
      </w:r>
      <w:r w:rsidR="005101BF" w:rsidRPr="004D3A04">
        <w:rPr>
          <w:rFonts w:ascii="Century Schoolbook" w:hAnsi="Century Schoolbook" w:cs="Courier New"/>
          <w:b/>
          <w:sz w:val="24"/>
          <w:szCs w:val="24"/>
        </w:rPr>
        <w:t>of actual performance up to the point of definitization</w:t>
      </w:r>
      <w:r w:rsidRPr="004D3A04">
        <w:rPr>
          <w:rFonts w:ascii="Century Schoolbook" w:hAnsi="Century Schoolbook" w:cs="Courier New"/>
          <w:b/>
          <w:sz w:val="24"/>
          <w:szCs w:val="24"/>
        </w:rPr>
        <w:t>.</w:t>
      </w:r>
    </w:p>
    <w:p w14:paraId="14E35E99" w14:textId="77777777" w:rsidR="00022781" w:rsidRDefault="00022781" w:rsidP="00F57AA4">
      <w:pPr>
        <w:pStyle w:val="PlainText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  <w:sz w:val="24"/>
          <w:szCs w:val="24"/>
        </w:rPr>
      </w:pPr>
    </w:p>
    <w:p w14:paraId="055A6452" w14:textId="14DD4769" w:rsidR="00C76DD4" w:rsidRDefault="00C76DD4" w:rsidP="00F57AA4">
      <w:pPr>
        <w:pStyle w:val="PlainText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  <w:sz w:val="24"/>
          <w:szCs w:val="24"/>
        </w:rPr>
      </w:pPr>
      <w:r>
        <w:rPr>
          <w:rFonts w:ascii="Century Schoolbook" w:hAnsi="Century Schoolbook" w:cs="Courier New"/>
          <w:b/>
          <w:sz w:val="24"/>
          <w:szCs w:val="24"/>
        </w:rPr>
        <w:tab/>
      </w:r>
      <w:r>
        <w:rPr>
          <w:rFonts w:ascii="Century Schoolbook" w:hAnsi="Century Schoolbook" w:cs="Courier New"/>
          <w:b/>
          <w:sz w:val="24"/>
          <w:szCs w:val="24"/>
        </w:rPr>
        <w:tab/>
      </w:r>
      <w:r w:rsidR="00574183">
        <w:rPr>
          <w:rFonts w:ascii="Century Schoolbook" w:hAnsi="Century Schoolbook" w:cs="Courier New"/>
          <w:b/>
          <w:sz w:val="24"/>
          <w:szCs w:val="24"/>
        </w:rPr>
        <w:tab/>
      </w:r>
      <w:r w:rsidR="00574183">
        <w:rPr>
          <w:rFonts w:ascii="Century Schoolbook" w:hAnsi="Century Schoolbook" w:cs="Courier New"/>
          <w:b/>
          <w:sz w:val="24"/>
          <w:szCs w:val="24"/>
        </w:rPr>
        <w:tab/>
      </w:r>
      <w:r w:rsidRPr="004D3A04">
        <w:rPr>
          <w:rFonts w:ascii="Century Schoolbook" w:hAnsi="Century Schoolbook" w:cs="Courier New"/>
          <w:b/>
          <w:sz w:val="24"/>
          <w:szCs w:val="24"/>
        </w:rPr>
        <w:t xml:space="preserve">(B)  For </w:t>
      </w:r>
      <w:r w:rsidR="00A766F7" w:rsidRPr="004D3A04">
        <w:rPr>
          <w:rFonts w:ascii="Century Schoolbook" w:hAnsi="Century Schoolbook" w:cs="Courier New"/>
          <w:b/>
          <w:sz w:val="24"/>
          <w:szCs w:val="24"/>
        </w:rPr>
        <w:t>indefinite delivery indefinite quantity (</w:t>
      </w:r>
      <w:r w:rsidRPr="004D3A04">
        <w:rPr>
          <w:rFonts w:ascii="Century Schoolbook" w:hAnsi="Century Schoolbook" w:cs="Courier New"/>
          <w:b/>
          <w:sz w:val="24"/>
          <w:szCs w:val="24"/>
        </w:rPr>
        <w:t>IDIQ</w:t>
      </w:r>
      <w:r w:rsidR="00A766F7" w:rsidRPr="004D3A04">
        <w:rPr>
          <w:rFonts w:ascii="Century Schoolbook" w:hAnsi="Century Schoolbook" w:cs="Courier New"/>
          <w:b/>
          <w:sz w:val="24"/>
          <w:szCs w:val="24"/>
        </w:rPr>
        <w:t>)</w:t>
      </w:r>
      <w:r w:rsidRPr="004D3A04">
        <w:rPr>
          <w:rFonts w:ascii="Century Schoolbook" w:hAnsi="Century Schoolbook" w:cs="Courier New"/>
          <w:b/>
          <w:sz w:val="24"/>
          <w:szCs w:val="24"/>
        </w:rPr>
        <w:t xml:space="preserve"> contracts </w:t>
      </w:r>
      <w:r w:rsidR="00130BFA" w:rsidRPr="004D3A04">
        <w:rPr>
          <w:rFonts w:ascii="Century Schoolbook" w:hAnsi="Century Schoolbook" w:cs="Courier New"/>
          <w:b/>
          <w:sz w:val="24"/>
          <w:szCs w:val="24"/>
        </w:rPr>
        <w:t>that</w:t>
      </w:r>
      <w:r w:rsidRPr="004D3A04">
        <w:rPr>
          <w:rFonts w:ascii="Century Schoolbook" w:hAnsi="Century Schoolbook" w:cs="Courier New"/>
          <w:b/>
          <w:sz w:val="24"/>
          <w:szCs w:val="24"/>
        </w:rPr>
        <w:t xml:space="preserve"> will establish pricing terms </w:t>
      </w:r>
      <w:r w:rsidR="00130BFA" w:rsidRPr="004D3A04">
        <w:rPr>
          <w:rFonts w:ascii="Century Schoolbook" w:hAnsi="Century Schoolbook" w:cs="Courier New"/>
          <w:b/>
          <w:sz w:val="24"/>
          <w:szCs w:val="24"/>
        </w:rPr>
        <w:t>that apply to</w:t>
      </w:r>
      <w:r w:rsidRPr="004D3A04">
        <w:rPr>
          <w:rFonts w:ascii="Century Schoolbook" w:hAnsi="Century Schoolbook" w:cs="Courier New"/>
          <w:b/>
          <w:sz w:val="24"/>
          <w:szCs w:val="24"/>
        </w:rPr>
        <w:t xml:space="preserve"> orders, </w:t>
      </w:r>
      <w:r w:rsidR="00955353" w:rsidRPr="004D3A04">
        <w:rPr>
          <w:rFonts w:ascii="Century Schoolbook" w:hAnsi="Century Schoolbook" w:cs="Courier New"/>
          <w:b/>
          <w:sz w:val="24"/>
          <w:szCs w:val="24"/>
        </w:rPr>
        <w:t>us</w:t>
      </w:r>
      <w:r w:rsidR="00844FC6" w:rsidRPr="004D3A04">
        <w:rPr>
          <w:rFonts w:ascii="Century Schoolbook" w:hAnsi="Century Schoolbook" w:cs="Courier New"/>
          <w:b/>
          <w:sz w:val="24"/>
          <w:szCs w:val="24"/>
        </w:rPr>
        <w:t>e</w:t>
      </w:r>
      <w:r w:rsidR="00955353" w:rsidRPr="004D3A04">
        <w:rPr>
          <w:rFonts w:ascii="Century Schoolbook" w:hAnsi="Century Schoolbook" w:cs="Courier New"/>
          <w:b/>
          <w:sz w:val="24"/>
          <w:szCs w:val="24"/>
        </w:rPr>
        <w:t xml:space="preserve"> </w:t>
      </w:r>
      <w:r w:rsidRPr="004D3A04">
        <w:rPr>
          <w:rFonts w:ascii="Century Schoolbook" w:hAnsi="Century Schoolbook" w:cs="Courier New"/>
          <w:b/>
          <w:sz w:val="24"/>
          <w:szCs w:val="24"/>
        </w:rPr>
        <w:t xml:space="preserve">the total maximum </w:t>
      </w:r>
      <w:r w:rsidR="00D419FA" w:rsidRPr="004D3A04">
        <w:rPr>
          <w:rFonts w:ascii="Century Schoolbook" w:hAnsi="Century Schoolbook" w:cs="Courier New"/>
          <w:b/>
          <w:sz w:val="24"/>
          <w:szCs w:val="24"/>
        </w:rPr>
        <w:t>dollar value</w:t>
      </w:r>
      <w:r w:rsidR="002A7221" w:rsidRPr="004D3A04">
        <w:rPr>
          <w:rFonts w:ascii="Century Schoolbook" w:hAnsi="Century Schoolbook" w:cs="Courier New"/>
          <w:b/>
          <w:sz w:val="24"/>
          <w:szCs w:val="24"/>
        </w:rPr>
        <w:t xml:space="preserve"> for purposes of the peer review threshold</w:t>
      </w:r>
      <w:r w:rsidR="00130BFA" w:rsidRPr="004D3A04">
        <w:rPr>
          <w:rFonts w:ascii="Century Schoolbook" w:hAnsi="Century Schoolbook" w:cs="Courier New"/>
          <w:b/>
          <w:sz w:val="24"/>
          <w:szCs w:val="24"/>
        </w:rPr>
        <w:t>.</w:t>
      </w:r>
      <w:r w:rsidR="004D3A04" w:rsidRPr="004D3A04">
        <w:rPr>
          <w:rFonts w:ascii="Century Schoolbook" w:hAnsi="Century Schoolbook" w:cs="Courier New"/>
          <w:b/>
          <w:sz w:val="24"/>
          <w:szCs w:val="24"/>
        </w:rPr>
        <w:t xml:space="preserve"> </w:t>
      </w:r>
      <w:r w:rsidRPr="004D3A04">
        <w:rPr>
          <w:rFonts w:ascii="Century Schoolbook" w:hAnsi="Century Schoolbook" w:cs="Courier New"/>
          <w:b/>
          <w:sz w:val="24"/>
          <w:szCs w:val="24"/>
        </w:rPr>
        <w:t xml:space="preserve"> IDIQ contracts </w:t>
      </w:r>
      <w:r w:rsidR="00130BFA" w:rsidRPr="004D3A04">
        <w:rPr>
          <w:rFonts w:ascii="Century Schoolbook" w:hAnsi="Century Schoolbook" w:cs="Courier New"/>
          <w:b/>
          <w:sz w:val="24"/>
          <w:szCs w:val="24"/>
        </w:rPr>
        <w:t>that will</w:t>
      </w:r>
      <w:r w:rsidRPr="004D3A04">
        <w:rPr>
          <w:rFonts w:ascii="Century Schoolbook" w:hAnsi="Century Schoolbook" w:cs="Courier New"/>
          <w:b/>
          <w:sz w:val="24"/>
          <w:szCs w:val="24"/>
        </w:rPr>
        <w:t xml:space="preserve"> not establish pricing terms in the basic contract are not subject to peer review, but individual</w:t>
      </w:r>
      <w:r w:rsidRPr="00C76DD4">
        <w:rPr>
          <w:rFonts w:ascii="Century Schoolbook" w:hAnsi="Century Schoolbook" w:cs="Courier New"/>
          <w:b/>
          <w:sz w:val="24"/>
          <w:szCs w:val="24"/>
        </w:rPr>
        <w:t xml:space="preserve"> orders that exceed the threshold are subject to peer review.</w:t>
      </w:r>
    </w:p>
    <w:p w14:paraId="3247C56F" w14:textId="6D7B585E" w:rsidR="005101BF" w:rsidRDefault="005101BF" w:rsidP="00F57AA4">
      <w:pPr>
        <w:pStyle w:val="PlainText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  <w:sz w:val="24"/>
          <w:szCs w:val="24"/>
        </w:rPr>
      </w:pPr>
    </w:p>
    <w:p w14:paraId="328CEC38" w14:textId="65D86EE5" w:rsidR="00C76DD4" w:rsidRDefault="00C76DD4" w:rsidP="00F57AA4">
      <w:pPr>
        <w:pStyle w:val="PlainText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  <w:sz w:val="24"/>
          <w:szCs w:val="24"/>
        </w:rPr>
      </w:pPr>
      <w:r>
        <w:rPr>
          <w:rFonts w:ascii="Century Schoolbook" w:hAnsi="Century Schoolbook" w:cs="Courier New"/>
          <w:b/>
          <w:sz w:val="24"/>
          <w:szCs w:val="24"/>
        </w:rPr>
        <w:tab/>
      </w:r>
      <w:r>
        <w:rPr>
          <w:rFonts w:ascii="Century Schoolbook" w:hAnsi="Century Schoolbook" w:cs="Courier New"/>
          <w:b/>
          <w:sz w:val="24"/>
          <w:szCs w:val="24"/>
        </w:rPr>
        <w:tab/>
      </w:r>
      <w:r w:rsidR="00574183">
        <w:rPr>
          <w:rFonts w:ascii="Century Schoolbook" w:hAnsi="Century Schoolbook" w:cs="Courier New"/>
          <w:b/>
          <w:sz w:val="24"/>
          <w:szCs w:val="24"/>
        </w:rPr>
        <w:tab/>
      </w:r>
      <w:r w:rsidR="00574183">
        <w:rPr>
          <w:rFonts w:ascii="Century Schoolbook" w:hAnsi="Century Schoolbook" w:cs="Courier New"/>
          <w:b/>
          <w:sz w:val="24"/>
          <w:szCs w:val="24"/>
        </w:rPr>
        <w:tab/>
      </w:r>
      <w:r>
        <w:rPr>
          <w:rFonts w:ascii="Century Schoolbook" w:hAnsi="Century Schoolbook" w:cs="Courier New"/>
          <w:b/>
          <w:sz w:val="24"/>
          <w:szCs w:val="24"/>
        </w:rPr>
        <w:t xml:space="preserve">(C)  For </w:t>
      </w:r>
      <w:r w:rsidR="00E64851">
        <w:rPr>
          <w:rFonts w:ascii="Century Schoolbook" w:hAnsi="Century Schoolbook" w:cs="Courier New"/>
          <w:b/>
          <w:sz w:val="24"/>
          <w:szCs w:val="24"/>
        </w:rPr>
        <w:t xml:space="preserve">noncompetitive contract actions, use the greater of the following </w:t>
      </w:r>
      <w:r>
        <w:rPr>
          <w:rFonts w:ascii="Century Schoolbook" w:hAnsi="Century Schoolbook" w:cs="Courier New"/>
          <w:b/>
          <w:sz w:val="24"/>
          <w:szCs w:val="24"/>
        </w:rPr>
        <w:t>when considering the firm requirement for al</w:t>
      </w:r>
      <w:r w:rsidR="00E64851">
        <w:rPr>
          <w:rFonts w:ascii="Century Schoolbook" w:hAnsi="Century Schoolbook" w:cs="Courier New"/>
          <w:b/>
          <w:sz w:val="24"/>
          <w:szCs w:val="24"/>
        </w:rPr>
        <w:t>l supplies or services</w:t>
      </w:r>
      <w:r w:rsidRPr="008B2D42">
        <w:rPr>
          <w:rFonts w:ascii="Century Schoolbook" w:hAnsi="Century Schoolbook" w:cs="Courier New"/>
          <w:b/>
          <w:sz w:val="24"/>
          <w:szCs w:val="24"/>
        </w:rPr>
        <w:t>:</w:t>
      </w:r>
    </w:p>
    <w:p w14:paraId="438B8347" w14:textId="77F288D5" w:rsidR="00CB13A6" w:rsidRDefault="00CB13A6" w:rsidP="00F57AA4">
      <w:pPr>
        <w:pStyle w:val="PlainText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  <w:sz w:val="24"/>
          <w:szCs w:val="24"/>
        </w:rPr>
      </w:pPr>
    </w:p>
    <w:p w14:paraId="607F94AC" w14:textId="3419B42A" w:rsidR="00784FF1" w:rsidRDefault="00574183" w:rsidP="00F57AA4">
      <w:pPr>
        <w:pStyle w:val="PlainText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  <w:sz w:val="24"/>
          <w:szCs w:val="24"/>
        </w:rPr>
      </w:pPr>
      <w:r>
        <w:rPr>
          <w:rFonts w:ascii="Century Schoolbook" w:hAnsi="Century Schoolbook" w:cs="Courier New"/>
          <w:b/>
          <w:sz w:val="24"/>
          <w:szCs w:val="24"/>
        </w:rPr>
        <w:tab/>
      </w:r>
      <w:r>
        <w:rPr>
          <w:rFonts w:ascii="Century Schoolbook" w:hAnsi="Century Schoolbook" w:cs="Courier New"/>
          <w:b/>
          <w:sz w:val="24"/>
          <w:szCs w:val="24"/>
        </w:rPr>
        <w:tab/>
      </w:r>
      <w:r w:rsidR="00784FF1">
        <w:rPr>
          <w:rFonts w:ascii="Century Schoolbook" w:hAnsi="Century Schoolbook" w:cs="Courier New"/>
          <w:b/>
          <w:sz w:val="24"/>
          <w:szCs w:val="24"/>
        </w:rPr>
        <w:tab/>
      </w:r>
      <w:r w:rsidR="00784FF1">
        <w:rPr>
          <w:rFonts w:ascii="Century Schoolbook" w:hAnsi="Century Schoolbook" w:cs="Courier New"/>
          <w:b/>
          <w:sz w:val="24"/>
          <w:szCs w:val="24"/>
        </w:rPr>
        <w:tab/>
      </w:r>
      <w:r w:rsidR="00784FF1">
        <w:rPr>
          <w:rFonts w:ascii="Century Schoolbook" w:hAnsi="Century Schoolbook" w:cs="Courier New"/>
          <w:b/>
          <w:sz w:val="24"/>
          <w:szCs w:val="24"/>
        </w:rPr>
        <w:tab/>
      </w:r>
      <w:r w:rsidR="00802901">
        <w:rPr>
          <w:rFonts w:ascii="Century Schoolbook" w:hAnsi="Century Schoolbook" w:cs="Courier New"/>
          <w:b/>
          <w:i/>
          <w:sz w:val="24"/>
          <w:szCs w:val="24"/>
        </w:rPr>
        <w:t>(1</w:t>
      </w:r>
      <w:r w:rsidR="00784FF1" w:rsidRPr="00784FF1">
        <w:rPr>
          <w:rFonts w:ascii="Century Schoolbook" w:hAnsi="Century Schoolbook" w:cs="Courier New"/>
          <w:b/>
          <w:i/>
          <w:sz w:val="24"/>
          <w:szCs w:val="24"/>
        </w:rPr>
        <w:t xml:space="preserve">) </w:t>
      </w:r>
      <w:r w:rsidR="00784FF1">
        <w:rPr>
          <w:rFonts w:ascii="Century Schoolbook" w:hAnsi="Century Schoolbook" w:cs="Courier New"/>
          <w:b/>
          <w:sz w:val="24"/>
          <w:szCs w:val="24"/>
        </w:rPr>
        <w:t xml:space="preserve"> </w:t>
      </w:r>
      <w:r w:rsidR="009D3316">
        <w:rPr>
          <w:rFonts w:ascii="Century Schoolbook" w:hAnsi="Century Schoolbook" w:cs="Courier New"/>
          <w:b/>
          <w:sz w:val="24"/>
          <w:szCs w:val="24"/>
        </w:rPr>
        <w:t>T</w:t>
      </w:r>
      <w:r w:rsidR="00784FF1" w:rsidRPr="00784FF1">
        <w:rPr>
          <w:rFonts w:ascii="Century Schoolbook" w:hAnsi="Century Schoolbook" w:cs="Courier New"/>
          <w:b/>
          <w:sz w:val="24"/>
          <w:szCs w:val="24"/>
        </w:rPr>
        <w:t>he approved Government objective amount</w:t>
      </w:r>
      <w:r w:rsidR="004D3A04">
        <w:rPr>
          <w:rFonts w:ascii="Century Schoolbook" w:hAnsi="Century Schoolbook" w:cs="Courier New"/>
          <w:b/>
          <w:sz w:val="24"/>
          <w:szCs w:val="24"/>
        </w:rPr>
        <w:t>.</w:t>
      </w:r>
    </w:p>
    <w:p w14:paraId="7EDD7296" w14:textId="77777777" w:rsidR="00574183" w:rsidRDefault="00574183" w:rsidP="00F57AA4">
      <w:pPr>
        <w:pStyle w:val="PlainText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b/>
          <w:sz w:val="24"/>
          <w:szCs w:val="24"/>
        </w:rPr>
      </w:pPr>
    </w:p>
    <w:p w14:paraId="31D9077C" w14:textId="76633E07" w:rsidR="00E90D40" w:rsidRDefault="00784FF1" w:rsidP="00F57AA4">
      <w:pPr>
        <w:pStyle w:val="PlainText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strike/>
          <w:sz w:val="24"/>
          <w:szCs w:val="24"/>
        </w:rPr>
      </w:pPr>
      <w:r>
        <w:rPr>
          <w:rFonts w:ascii="Century Schoolbook" w:hAnsi="Century Schoolbook" w:cs="Courier New"/>
          <w:b/>
          <w:sz w:val="24"/>
          <w:szCs w:val="24"/>
        </w:rPr>
        <w:tab/>
      </w:r>
      <w:r>
        <w:rPr>
          <w:rFonts w:ascii="Century Schoolbook" w:hAnsi="Century Schoolbook" w:cs="Courier New"/>
          <w:b/>
          <w:sz w:val="24"/>
          <w:szCs w:val="24"/>
        </w:rPr>
        <w:tab/>
      </w:r>
      <w:r>
        <w:rPr>
          <w:rFonts w:ascii="Century Schoolbook" w:hAnsi="Century Schoolbook" w:cs="Courier New"/>
          <w:b/>
          <w:sz w:val="24"/>
          <w:szCs w:val="24"/>
        </w:rPr>
        <w:tab/>
      </w:r>
      <w:r w:rsidR="00574183">
        <w:rPr>
          <w:rFonts w:ascii="Century Schoolbook" w:hAnsi="Century Schoolbook" w:cs="Courier New"/>
          <w:b/>
          <w:sz w:val="24"/>
          <w:szCs w:val="24"/>
        </w:rPr>
        <w:tab/>
      </w:r>
      <w:r w:rsidR="00574183">
        <w:rPr>
          <w:rFonts w:ascii="Century Schoolbook" w:hAnsi="Century Schoolbook" w:cs="Courier New"/>
          <w:b/>
          <w:sz w:val="24"/>
          <w:szCs w:val="24"/>
        </w:rPr>
        <w:tab/>
      </w:r>
      <w:r w:rsidR="00802901">
        <w:rPr>
          <w:rFonts w:ascii="Century Schoolbook" w:hAnsi="Century Schoolbook" w:cs="Courier New"/>
          <w:b/>
          <w:i/>
          <w:sz w:val="24"/>
          <w:szCs w:val="24"/>
        </w:rPr>
        <w:t>(2</w:t>
      </w:r>
      <w:r w:rsidRPr="00784FF1">
        <w:rPr>
          <w:rFonts w:ascii="Century Schoolbook" w:hAnsi="Century Schoolbook" w:cs="Courier New"/>
          <w:b/>
          <w:i/>
          <w:sz w:val="24"/>
          <w:szCs w:val="24"/>
        </w:rPr>
        <w:t xml:space="preserve">) </w:t>
      </w:r>
      <w:r>
        <w:rPr>
          <w:rFonts w:ascii="Century Schoolbook" w:hAnsi="Century Schoolbook" w:cs="Courier New"/>
          <w:b/>
          <w:sz w:val="24"/>
          <w:szCs w:val="24"/>
        </w:rPr>
        <w:t xml:space="preserve"> </w:t>
      </w:r>
      <w:r w:rsidR="009D3316">
        <w:rPr>
          <w:rFonts w:ascii="Century Schoolbook" w:hAnsi="Century Schoolbook" w:cs="Courier New"/>
          <w:b/>
          <w:sz w:val="24"/>
          <w:szCs w:val="24"/>
        </w:rPr>
        <w:t>T</w:t>
      </w:r>
      <w:r>
        <w:rPr>
          <w:rFonts w:ascii="Century Schoolbook" w:hAnsi="Century Schoolbook" w:cs="Courier New"/>
          <w:b/>
          <w:sz w:val="24"/>
          <w:szCs w:val="24"/>
        </w:rPr>
        <w:t xml:space="preserve">he </w:t>
      </w:r>
      <w:r w:rsidR="00E64851">
        <w:rPr>
          <w:rFonts w:ascii="Century Schoolbook" w:hAnsi="Century Schoolbook" w:cs="Courier New"/>
          <w:b/>
          <w:sz w:val="24"/>
          <w:szCs w:val="24"/>
        </w:rPr>
        <w:t>c</w:t>
      </w:r>
      <w:r w:rsidRPr="008B2D42">
        <w:rPr>
          <w:rFonts w:ascii="Century Schoolbook" w:hAnsi="Century Schoolbook" w:cs="Courier New"/>
          <w:b/>
          <w:sz w:val="24"/>
          <w:szCs w:val="24"/>
        </w:rPr>
        <w:t>ontractor proposed amount</w:t>
      </w:r>
      <w:r>
        <w:rPr>
          <w:rFonts w:ascii="Century Schoolbook" w:hAnsi="Century Schoolbook" w:cs="Courier New"/>
          <w:b/>
          <w:sz w:val="24"/>
          <w:szCs w:val="24"/>
        </w:rPr>
        <w:t>.</w:t>
      </w:r>
      <w:r w:rsidR="0061695D">
        <w:rPr>
          <w:rFonts w:ascii="Century Schoolbook" w:hAnsi="Century Schoolbook" w:cs="Courier New"/>
          <w:b/>
          <w:sz w:val="24"/>
          <w:szCs w:val="24"/>
        </w:rPr>
        <w:t>]</w:t>
      </w:r>
      <w:r w:rsidR="00BB5070" w:rsidRPr="001B6718">
        <w:rPr>
          <w:rFonts w:ascii="Century Schoolbook" w:hAnsi="Century Schoolbook" w:cs="Courier New"/>
          <w:strike/>
          <w:sz w:val="24"/>
          <w:szCs w:val="24"/>
        </w:rPr>
        <w:t>; and</w:t>
      </w:r>
    </w:p>
    <w:p w14:paraId="785F13C1" w14:textId="618CE59D" w:rsidR="001B6718" w:rsidRDefault="001B6718">
      <w:pPr>
        <w:pStyle w:val="PlainText"/>
        <w:tabs>
          <w:tab w:val="left" w:pos="360"/>
          <w:tab w:val="left" w:pos="806"/>
          <w:tab w:val="left" w:pos="1170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strike/>
          <w:sz w:val="24"/>
          <w:szCs w:val="24"/>
        </w:rPr>
      </w:pPr>
    </w:p>
    <w:p w14:paraId="0BEF059C" w14:textId="77777777" w:rsidR="00564FF6" w:rsidRPr="00564FF6" w:rsidRDefault="00564FF6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strike/>
          <w:szCs w:val="24"/>
        </w:rPr>
      </w:pPr>
      <w:r w:rsidRPr="00564FF6">
        <w:rPr>
          <w:rFonts w:cs="Courier New"/>
          <w:strike/>
          <w:szCs w:val="24"/>
        </w:rPr>
        <w:tab/>
      </w:r>
      <w:r w:rsidRPr="00564FF6">
        <w:rPr>
          <w:rFonts w:cs="Courier New"/>
          <w:strike/>
          <w:szCs w:val="24"/>
        </w:rPr>
        <w:tab/>
      </w:r>
      <w:r w:rsidRPr="00564FF6">
        <w:rPr>
          <w:rFonts w:cs="Courier New"/>
          <w:strike/>
          <w:szCs w:val="24"/>
        </w:rPr>
        <w:tab/>
        <w:t xml:space="preserve">(iii)  Postaward peer reviews will be conducted for all contracts for services valued at $1 billion or more. </w:t>
      </w:r>
    </w:p>
    <w:p w14:paraId="6BB6F76E" w14:textId="6F1EB9C5" w:rsidR="00564FF6" w:rsidRDefault="00564FF6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szCs w:val="24"/>
        </w:rPr>
      </w:pPr>
    </w:p>
    <w:p w14:paraId="08C9B0A8" w14:textId="3B552F30" w:rsidR="009635CB" w:rsidRDefault="009635CB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szCs w:val="24"/>
        </w:rPr>
      </w:pPr>
      <w:r>
        <w:rPr>
          <w:rFonts w:cs="Courier New"/>
          <w:szCs w:val="24"/>
        </w:rPr>
        <w:tab/>
      </w:r>
      <w:r>
        <w:rPr>
          <w:rFonts w:cs="Courier New"/>
          <w:szCs w:val="24"/>
        </w:rPr>
        <w:tab/>
      </w:r>
      <w:r w:rsidRPr="009D6A02">
        <w:rPr>
          <w:rFonts w:cs="Courier New"/>
          <w:szCs w:val="24"/>
        </w:rPr>
        <w:t xml:space="preserve">(2)  To facilitate planning for </w:t>
      </w:r>
      <w:r>
        <w:rPr>
          <w:rFonts w:cs="Courier New"/>
          <w:szCs w:val="24"/>
        </w:rPr>
        <w:t>p</w:t>
      </w:r>
      <w:r w:rsidRPr="009D6A02">
        <w:rPr>
          <w:rFonts w:cs="Courier New"/>
          <w:szCs w:val="24"/>
        </w:rPr>
        <w:t xml:space="preserve">eer </w:t>
      </w:r>
      <w:r>
        <w:rPr>
          <w:rFonts w:cs="Courier New"/>
          <w:szCs w:val="24"/>
        </w:rPr>
        <w:t>r</w:t>
      </w:r>
      <w:r w:rsidRPr="009D6A02">
        <w:rPr>
          <w:rFonts w:cs="Courier New"/>
          <w:szCs w:val="24"/>
        </w:rPr>
        <w:t>eviews, the military departments</w:t>
      </w:r>
      <w:r>
        <w:rPr>
          <w:rFonts w:cs="Courier New"/>
          <w:szCs w:val="24"/>
        </w:rPr>
        <w:t xml:space="preserve"> and</w:t>
      </w:r>
      <w:r w:rsidRPr="009D6A02">
        <w:rPr>
          <w:rFonts w:cs="Courier New"/>
          <w:szCs w:val="24"/>
        </w:rPr>
        <w:t xml:space="preserve"> defense agencies shall provide a rolling annual forecast of acquisitions</w:t>
      </w:r>
      <w:r>
        <w:rPr>
          <w:rFonts w:cs="Courier New"/>
          <w:szCs w:val="24"/>
        </w:rPr>
        <w:t xml:space="preserve"> </w:t>
      </w:r>
      <w:r w:rsidR="00D85252" w:rsidRPr="00F57AA4">
        <w:rPr>
          <w:rFonts w:cs="Courier New"/>
          <w:b/>
          <w:szCs w:val="24"/>
        </w:rPr>
        <w:t>[</w:t>
      </w:r>
      <w:r w:rsidRPr="00F57AA4">
        <w:rPr>
          <w:rFonts w:cs="Courier New"/>
          <w:b/>
          <w:szCs w:val="24"/>
        </w:rPr>
        <w:t xml:space="preserve">that will be subject to </w:t>
      </w:r>
      <w:r w:rsidR="008A5F8F" w:rsidRPr="00F62ED9">
        <w:rPr>
          <w:rFonts w:cs="Courier New"/>
          <w:b/>
          <w:szCs w:val="24"/>
        </w:rPr>
        <w:t>DPC</w:t>
      </w:r>
      <w:r w:rsidRPr="00F57AA4">
        <w:rPr>
          <w:rFonts w:cs="Courier New"/>
          <w:b/>
          <w:szCs w:val="24"/>
        </w:rPr>
        <w:t xml:space="preserve"> peer reviews</w:t>
      </w:r>
      <w:r w:rsidR="00D85252" w:rsidRPr="00F57AA4">
        <w:rPr>
          <w:rFonts w:cs="Courier New"/>
          <w:b/>
          <w:szCs w:val="24"/>
        </w:rPr>
        <w:t>]</w:t>
      </w:r>
      <w:r w:rsidRPr="009D6A02">
        <w:rPr>
          <w:rFonts w:cs="Courier New"/>
          <w:szCs w:val="24"/>
        </w:rPr>
        <w:t xml:space="preserve"> at the end of each quarter (i.e., March 31; June 30; September 30; December 31</w:t>
      </w:r>
      <w:r w:rsidR="00DD7C5E">
        <w:rPr>
          <w:rFonts w:cs="Courier New"/>
          <w:szCs w:val="24"/>
        </w:rPr>
        <w:t>)</w:t>
      </w:r>
      <w:r w:rsidR="00DD7C5E">
        <w:rPr>
          <w:rFonts w:cs="Courier New"/>
          <w:b/>
          <w:szCs w:val="24"/>
        </w:rPr>
        <w:t>[.]</w:t>
      </w:r>
      <w:r w:rsidRPr="00DD7C5E">
        <w:rPr>
          <w:rFonts w:cs="Courier New"/>
          <w:strike/>
          <w:szCs w:val="24"/>
        </w:rPr>
        <w:t>, to the Deputy Director, Defense Procurement and Acquisition Policy (Contract Policy and International Contracting) via email to</w:t>
      </w:r>
      <w:r w:rsidR="00B346C4">
        <w:rPr>
          <w:rFonts w:cs="Courier New"/>
          <w:strike/>
          <w:szCs w:val="24"/>
        </w:rPr>
        <w:t xml:space="preserve"> </w:t>
      </w:r>
      <w:r w:rsidR="00B346C4" w:rsidRPr="00F57AA4">
        <w:rPr>
          <w:i/>
          <w:strike/>
        </w:rPr>
        <w:t>osd.pentagon.ousd-atl.mbx.peer-reviews@mail.mil</w:t>
      </w:r>
      <w:r w:rsidR="00B346C4" w:rsidRPr="00F57AA4">
        <w:rPr>
          <w:strike/>
        </w:rPr>
        <w:t>.</w:t>
      </w:r>
    </w:p>
    <w:p w14:paraId="619BD089" w14:textId="77777777" w:rsidR="009635CB" w:rsidRDefault="009635CB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szCs w:val="24"/>
        </w:rPr>
      </w:pPr>
    </w:p>
    <w:p w14:paraId="4ABE8C0F" w14:textId="3C605839" w:rsidR="005D5C69" w:rsidRDefault="005D5C69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b/>
          <w:szCs w:val="24"/>
        </w:rPr>
      </w:pPr>
      <w:r>
        <w:rPr>
          <w:rFonts w:cs="Courier New"/>
          <w:b/>
          <w:szCs w:val="24"/>
        </w:rPr>
        <w:tab/>
      </w:r>
      <w:r>
        <w:rPr>
          <w:rFonts w:cs="Courier New"/>
          <w:b/>
          <w:szCs w:val="24"/>
        </w:rPr>
        <w:tab/>
      </w:r>
      <w:r>
        <w:rPr>
          <w:rFonts w:cs="Courier New"/>
          <w:b/>
          <w:szCs w:val="24"/>
        </w:rPr>
        <w:tab/>
      </w:r>
      <w:r w:rsidR="009635CB">
        <w:rPr>
          <w:rFonts w:cs="Courier New"/>
          <w:b/>
          <w:szCs w:val="24"/>
        </w:rPr>
        <w:t>[</w:t>
      </w:r>
      <w:r>
        <w:rPr>
          <w:rFonts w:cs="Courier New"/>
          <w:b/>
          <w:szCs w:val="24"/>
        </w:rPr>
        <w:t xml:space="preserve">(i)  </w:t>
      </w:r>
      <w:r w:rsidR="005C41F5">
        <w:rPr>
          <w:rFonts w:cs="Courier New"/>
          <w:b/>
          <w:szCs w:val="24"/>
        </w:rPr>
        <w:t>Military departments and defense agencies shall submit q</w:t>
      </w:r>
      <w:r w:rsidRPr="00776443">
        <w:rPr>
          <w:rFonts w:cs="Courier New"/>
          <w:b/>
          <w:szCs w:val="24"/>
        </w:rPr>
        <w:t xml:space="preserve">uarterly </w:t>
      </w:r>
      <w:r>
        <w:rPr>
          <w:rFonts w:cs="Courier New"/>
          <w:b/>
          <w:szCs w:val="24"/>
        </w:rPr>
        <w:t>forecasts</w:t>
      </w:r>
      <w:r w:rsidRPr="00776443">
        <w:rPr>
          <w:rFonts w:cs="Courier New"/>
          <w:b/>
          <w:szCs w:val="24"/>
        </w:rPr>
        <w:t xml:space="preserve"> for competitive peer reviews to the Director, </w:t>
      </w:r>
      <w:r w:rsidR="00716953">
        <w:rPr>
          <w:rFonts w:cs="Courier New"/>
          <w:b/>
          <w:szCs w:val="24"/>
        </w:rPr>
        <w:t>Defense Pricing and Contracting</w:t>
      </w:r>
      <w:r w:rsidR="00DD7C5E">
        <w:rPr>
          <w:rFonts w:cs="Courier New"/>
          <w:b/>
          <w:szCs w:val="24"/>
        </w:rPr>
        <w:t xml:space="preserve"> (Contract Policy)</w:t>
      </w:r>
      <w:r w:rsidR="009635CB">
        <w:rPr>
          <w:rFonts w:cs="Courier New"/>
          <w:b/>
          <w:szCs w:val="24"/>
        </w:rPr>
        <w:t>,</w:t>
      </w:r>
      <w:r w:rsidR="00716953">
        <w:rPr>
          <w:rFonts w:cs="Courier New"/>
          <w:b/>
          <w:szCs w:val="24"/>
        </w:rPr>
        <w:t xml:space="preserve"> </w:t>
      </w:r>
      <w:r w:rsidRPr="00776443">
        <w:rPr>
          <w:rFonts w:cs="Courier New"/>
          <w:b/>
          <w:szCs w:val="24"/>
        </w:rPr>
        <w:t xml:space="preserve">at </w:t>
      </w:r>
      <w:hyperlink r:id="rId11" w:history="1">
        <w:r w:rsidR="0061695D" w:rsidRPr="00F57AA4">
          <w:rPr>
            <w:rStyle w:val="Hyperlink"/>
            <w:rFonts w:cs="Courier New"/>
            <w:b/>
            <w:i/>
            <w:szCs w:val="24"/>
          </w:rPr>
          <w:t>osd.pentagon.ousd-a-s.mbx.dpc-cp@mail.mil</w:t>
        </w:r>
      </w:hyperlink>
      <w:r w:rsidRPr="00776443">
        <w:rPr>
          <w:rFonts w:cs="Courier New"/>
          <w:b/>
          <w:szCs w:val="24"/>
        </w:rPr>
        <w:t>.</w:t>
      </w:r>
    </w:p>
    <w:p w14:paraId="50DF59DF" w14:textId="77777777" w:rsidR="009635CB" w:rsidRDefault="009635CB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b/>
          <w:szCs w:val="24"/>
        </w:rPr>
      </w:pPr>
    </w:p>
    <w:p w14:paraId="653F14EB" w14:textId="08FF1913" w:rsidR="00564FF6" w:rsidRDefault="005D5C69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szCs w:val="24"/>
        </w:rPr>
      </w:pPr>
      <w:r>
        <w:rPr>
          <w:rFonts w:cs="Courier New"/>
          <w:b/>
          <w:szCs w:val="24"/>
        </w:rPr>
        <w:tab/>
      </w:r>
      <w:r>
        <w:rPr>
          <w:rFonts w:cs="Courier New"/>
          <w:b/>
          <w:szCs w:val="24"/>
        </w:rPr>
        <w:tab/>
      </w:r>
      <w:r>
        <w:rPr>
          <w:rFonts w:cs="Courier New"/>
          <w:b/>
          <w:szCs w:val="24"/>
        </w:rPr>
        <w:tab/>
        <w:t xml:space="preserve">(ii)  </w:t>
      </w:r>
      <w:r w:rsidR="005C41F5">
        <w:rPr>
          <w:rFonts w:cs="Courier New"/>
          <w:b/>
          <w:szCs w:val="24"/>
        </w:rPr>
        <w:t>Military departments and defense agencies shall submit q</w:t>
      </w:r>
      <w:r w:rsidRPr="00DD7C5E">
        <w:rPr>
          <w:rFonts w:cs="Courier New"/>
          <w:b/>
          <w:szCs w:val="24"/>
        </w:rPr>
        <w:t xml:space="preserve">uarterly forecasts for </w:t>
      </w:r>
      <w:r w:rsidR="00DD7C5E">
        <w:rPr>
          <w:rFonts w:cs="Courier New"/>
          <w:b/>
          <w:szCs w:val="24"/>
        </w:rPr>
        <w:t>non</w:t>
      </w:r>
      <w:r w:rsidRPr="00DD7C5E">
        <w:rPr>
          <w:rFonts w:cs="Courier New"/>
          <w:b/>
          <w:szCs w:val="24"/>
        </w:rPr>
        <w:t xml:space="preserve">competitive peer reviews </w:t>
      </w:r>
      <w:r w:rsidR="00564FF6" w:rsidRPr="00DD7C5E">
        <w:rPr>
          <w:rFonts w:cs="Courier New"/>
          <w:b/>
          <w:szCs w:val="24"/>
        </w:rPr>
        <w:t>to the Director, Defense Pr</w:t>
      </w:r>
      <w:r w:rsidR="00750ED5" w:rsidRPr="00DD7C5E">
        <w:rPr>
          <w:rFonts w:cs="Courier New"/>
          <w:b/>
          <w:szCs w:val="24"/>
        </w:rPr>
        <w:t>icing</w:t>
      </w:r>
      <w:r w:rsidR="00DD7C5E" w:rsidRPr="00DD7C5E">
        <w:rPr>
          <w:rFonts w:cs="Courier New"/>
          <w:b/>
          <w:szCs w:val="24"/>
        </w:rPr>
        <w:t xml:space="preserve"> and Cont</w:t>
      </w:r>
      <w:r w:rsidR="00564FF6" w:rsidRPr="00DD7C5E">
        <w:rPr>
          <w:rFonts w:cs="Courier New"/>
          <w:b/>
          <w:szCs w:val="24"/>
        </w:rPr>
        <w:t>racting</w:t>
      </w:r>
      <w:r w:rsidR="00DD7C5E" w:rsidRPr="00DD7C5E">
        <w:rPr>
          <w:rFonts w:cs="Courier New"/>
          <w:b/>
          <w:szCs w:val="24"/>
        </w:rPr>
        <w:t xml:space="preserve"> (Price, Cost and Finance), at </w:t>
      </w:r>
      <w:hyperlink r:id="rId12" w:history="1">
        <w:r w:rsidR="00DD7C5E" w:rsidRPr="00F57AA4">
          <w:rPr>
            <w:rStyle w:val="Hyperlink"/>
            <w:rFonts w:cs="Courier New"/>
            <w:b/>
            <w:i/>
            <w:szCs w:val="24"/>
          </w:rPr>
          <w:t>osd.pentagon.ousd-a-s.mbx.dpc-pcf@mail.mil</w:t>
        </w:r>
      </w:hyperlink>
      <w:r w:rsidR="00E900EF" w:rsidRPr="00DD7C5E">
        <w:rPr>
          <w:rFonts w:cs="Courier New"/>
          <w:b/>
          <w:szCs w:val="24"/>
        </w:rPr>
        <w:t>]</w:t>
      </w:r>
      <w:r w:rsidR="00D477A9" w:rsidRPr="00DD7C5E">
        <w:rPr>
          <w:rFonts w:cs="Courier New"/>
          <w:b/>
          <w:szCs w:val="24"/>
        </w:rPr>
        <w:t>.</w:t>
      </w:r>
    </w:p>
    <w:p w14:paraId="4012732F" w14:textId="77777777" w:rsidR="00564FF6" w:rsidRDefault="00564FF6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szCs w:val="24"/>
        </w:rPr>
      </w:pPr>
    </w:p>
    <w:p w14:paraId="1ED99690" w14:textId="057C80BC" w:rsidR="00564FF6" w:rsidRDefault="00564FF6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szCs w:val="24"/>
        </w:rPr>
      </w:pPr>
      <w:r>
        <w:rPr>
          <w:rFonts w:cs="Courier New"/>
          <w:szCs w:val="24"/>
        </w:rPr>
        <w:tab/>
        <w:t xml:space="preserve">(b)  </w:t>
      </w:r>
      <w:r>
        <w:rPr>
          <w:rFonts w:cs="Courier New"/>
          <w:i/>
          <w:szCs w:val="24"/>
        </w:rPr>
        <w:t>Component peer reviews</w:t>
      </w:r>
      <w:r>
        <w:rPr>
          <w:rFonts w:cs="Courier New"/>
          <w:szCs w:val="24"/>
        </w:rPr>
        <w:t>.  The military departments and defense agencies shall establish procedures for—</w:t>
      </w:r>
      <w:bookmarkStart w:id="3" w:name="_GoBack"/>
      <w:bookmarkEnd w:id="3"/>
    </w:p>
    <w:p w14:paraId="1C71C68A" w14:textId="77777777" w:rsidR="00564FF6" w:rsidRDefault="00564FF6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szCs w:val="24"/>
        </w:rPr>
      </w:pPr>
    </w:p>
    <w:p w14:paraId="53DA66C3" w14:textId="36A02016" w:rsidR="00564FF6" w:rsidRPr="003A6A47" w:rsidRDefault="00564FF6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b/>
          <w:szCs w:val="24"/>
        </w:rPr>
      </w:pPr>
      <w:r>
        <w:rPr>
          <w:rFonts w:cs="Courier New"/>
          <w:szCs w:val="24"/>
        </w:rPr>
        <w:tab/>
      </w:r>
      <w:r>
        <w:rPr>
          <w:rFonts w:cs="Courier New"/>
          <w:szCs w:val="24"/>
        </w:rPr>
        <w:tab/>
      </w:r>
      <w:r w:rsidRPr="003A6A47">
        <w:rPr>
          <w:rFonts w:cs="Courier New"/>
          <w:szCs w:val="24"/>
        </w:rPr>
        <w:t xml:space="preserve">(1)  Preaward peer reviews of solicitations for competitive procurements </w:t>
      </w:r>
      <w:r w:rsidR="007B09BA" w:rsidRPr="003A6A47">
        <w:rPr>
          <w:rFonts w:cs="Courier New"/>
          <w:b/>
          <w:szCs w:val="24"/>
        </w:rPr>
        <w:t xml:space="preserve">[not </w:t>
      </w:r>
      <w:r w:rsidR="00501123" w:rsidRPr="003A6A47">
        <w:rPr>
          <w:rFonts w:cs="Courier New"/>
          <w:b/>
          <w:szCs w:val="24"/>
        </w:rPr>
        <w:t>subject to</w:t>
      </w:r>
      <w:r w:rsidR="007B09BA" w:rsidRPr="003A6A47">
        <w:rPr>
          <w:rFonts w:cs="Courier New"/>
          <w:b/>
          <w:szCs w:val="24"/>
        </w:rPr>
        <w:t xml:space="preserve"> 201.170(a)(1)(i)</w:t>
      </w:r>
      <w:r w:rsidR="00DD7C5E" w:rsidRPr="003A6A47">
        <w:rPr>
          <w:rFonts w:cs="Courier New"/>
          <w:b/>
          <w:szCs w:val="24"/>
        </w:rPr>
        <w:t>]</w:t>
      </w:r>
      <w:r w:rsidRPr="003A6A47">
        <w:rPr>
          <w:rFonts w:cs="Courier New"/>
          <w:strike/>
          <w:szCs w:val="24"/>
        </w:rPr>
        <w:t>valued at less than $1 billion</w:t>
      </w:r>
      <w:r w:rsidRPr="003A6A47">
        <w:rPr>
          <w:rFonts w:cs="Courier New"/>
          <w:szCs w:val="24"/>
        </w:rPr>
        <w:t>;</w:t>
      </w:r>
      <w:r w:rsidR="006C2670" w:rsidRPr="003A6A47">
        <w:rPr>
          <w:rFonts w:cs="Courier New"/>
          <w:szCs w:val="24"/>
        </w:rPr>
        <w:t xml:space="preserve"> </w:t>
      </w:r>
      <w:r w:rsidR="006C2670" w:rsidRPr="003A6A47">
        <w:rPr>
          <w:rFonts w:cs="Courier New"/>
          <w:b/>
          <w:szCs w:val="24"/>
        </w:rPr>
        <w:t>[and]</w:t>
      </w:r>
    </w:p>
    <w:p w14:paraId="7CA51D61" w14:textId="77777777" w:rsidR="00564FF6" w:rsidRPr="003A6A47" w:rsidRDefault="00564FF6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szCs w:val="24"/>
        </w:rPr>
      </w:pPr>
    </w:p>
    <w:p w14:paraId="65650A92" w14:textId="2FF582C6" w:rsidR="00564FF6" w:rsidRPr="00C96F43" w:rsidRDefault="00564FF6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b/>
          <w:szCs w:val="24"/>
        </w:rPr>
      </w:pPr>
      <w:r w:rsidRPr="003A6A47">
        <w:rPr>
          <w:rFonts w:cs="Courier New"/>
          <w:szCs w:val="24"/>
        </w:rPr>
        <w:tab/>
      </w:r>
      <w:r w:rsidRPr="003A6A47">
        <w:rPr>
          <w:rFonts w:cs="Courier New"/>
          <w:szCs w:val="24"/>
        </w:rPr>
        <w:tab/>
        <w:t xml:space="preserve">(2)  Preaward peer reviews </w:t>
      </w:r>
      <w:r w:rsidRPr="003A6A47">
        <w:rPr>
          <w:rFonts w:cs="Courier New"/>
          <w:strike/>
          <w:szCs w:val="24"/>
        </w:rPr>
        <w:t>for</w:t>
      </w:r>
      <w:r w:rsidR="0000323E" w:rsidRPr="003A6A47">
        <w:rPr>
          <w:rFonts w:cs="Courier New"/>
          <w:b/>
          <w:szCs w:val="24"/>
        </w:rPr>
        <w:t>[</w:t>
      </w:r>
      <w:r w:rsidR="00455EA0" w:rsidRPr="003A6A47">
        <w:rPr>
          <w:rFonts w:cs="Courier New"/>
          <w:b/>
          <w:bCs/>
          <w:szCs w:val="24"/>
        </w:rPr>
        <w:t>of</w:t>
      </w:r>
      <w:r w:rsidR="0000323E" w:rsidRPr="003A6A47">
        <w:rPr>
          <w:rFonts w:cs="Courier New"/>
          <w:b/>
          <w:bCs/>
          <w:szCs w:val="24"/>
        </w:rPr>
        <w:t>]</w:t>
      </w:r>
      <w:r w:rsidR="00455EA0" w:rsidRPr="003A6A47">
        <w:rPr>
          <w:rFonts w:cs="Courier New"/>
          <w:b/>
          <w:bCs/>
          <w:szCs w:val="24"/>
        </w:rPr>
        <w:t xml:space="preserve"> </w:t>
      </w:r>
      <w:r w:rsidRPr="003A6A47">
        <w:rPr>
          <w:rFonts w:cs="Courier New"/>
          <w:szCs w:val="24"/>
        </w:rPr>
        <w:t xml:space="preserve">noncompetitive procurements </w:t>
      </w:r>
      <w:r w:rsidR="00501123" w:rsidRPr="003A6A47">
        <w:rPr>
          <w:rFonts w:cs="Courier New"/>
          <w:b/>
          <w:bCs/>
          <w:szCs w:val="24"/>
        </w:rPr>
        <w:t>[not subject to 201.170(a)(1)(ii)</w:t>
      </w:r>
      <w:r w:rsidR="003A6A47" w:rsidRPr="003A6A47">
        <w:rPr>
          <w:rFonts w:cs="Courier New"/>
          <w:b/>
          <w:bCs/>
          <w:szCs w:val="24"/>
        </w:rPr>
        <w:t>.</w:t>
      </w:r>
      <w:r w:rsidR="00501123" w:rsidRPr="003A6A47">
        <w:rPr>
          <w:rFonts w:cs="Courier New"/>
          <w:b/>
          <w:bCs/>
          <w:szCs w:val="24"/>
        </w:rPr>
        <w:t>]</w:t>
      </w:r>
      <w:r w:rsidRPr="003A6A47">
        <w:rPr>
          <w:rFonts w:cs="Courier New"/>
          <w:strike/>
          <w:szCs w:val="24"/>
        </w:rPr>
        <w:t>valued at less than $500</w:t>
      </w:r>
      <w:r w:rsidR="00716953" w:rsidRPr="003A6A47">
        <w:rPr>
          <w:rFonts w:cs="Courier New"/>
          <w:strike/>
          <w:szCs w:val="24"/>
        </w:rPr>
        <w:t xml:space="preserve"> million</w:t>
      </w:r>
      <w:r w:rsidRPr="003A6A47">
        <w:rPr>
          <w:rFonts w:cs="Courier New"/>
          <w:strike/>
          <w:szCs w:val="24"/>
        </w:rPr>
        <w:t>; and</w:t>
      </w:r>
    </w:p>
    <w:p w14:paraId="70537873" w14:textId="77777777" w:rsidR="00564FF6" w:rsidRDefault="00564FF6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szCs w:val="24"/>
        </w:rPr>
      </w:pPr>
    </w:p>
    <w:p w14:paraId="4D40C5D1" w14:textId="77777777" w:rsidR="00564FF6" w:rsidRDefault="00564FF6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szCs w:val="24"/>
        </w:rPr>
      </w:pPr>
      <w:r>
        <w:rPr>
          <w:rFonts w:cs="Courier New"/>
          <w:szCs w:val="24"/>
        </w:rPr>
        <w:tab/>
      </w:r>
      <w:r>
        <w:rPr>
          <w:rFonts w:cs="Courier New"/>
          <w:szCs w:val="24"/>
        </w:rPr>
        <w:tab/>
      </w:r>
      <w:r w:rsidRPr="0000323E">
        <w:rPr>
          <w:rFonts w:cs="Courier New"/>
          <w:strike/>
          <w:szCs w:val="24"/>
        </w:rPr>
        <w:t>(3)  Postaward</w:t>
      </w:r>
      <w:r w:rsidRPr="009B6F40">
        <w:rPr>
          <w:rFonts w:cs="Courier New"/>
          <w:strike/>
          <w:szCs w:val="24"/>
        </w:rPr>
        <w:t xml:space="preserve"> peer reviews of all contracts for service</w:t>
      </w:r>
      <w:r w:rsidRPr="009722D1">
        <w:rPr>
          <w:rFonts w:cs="Courier New"/>
          <w:strike/>
          <w:szCs w:val="24"/>
        </w:rPr>
        <w:t>s v</w:t>
      </w:r>
      <w:r w:rsidRPr="00564FF6">
        <w:rPr>
          <w:rFonts w:cs="Courier New"/>
          <w:strike/>
          <w:szCs w:val="24"/>
        </w:rPr>
        <w:t>alued at less than $1 billion</w:t>
      </w:r>
      <w:r>
        <w:rPr>
          <w:rFonts w:cs="Courier New"/>
          <w:szCs w:val="24"/>
        </w:rPr>
        <w:t>.</w:t>
      </w:r>
    </w:p>
    <w:p w14:paraId="48F1CE73" w14:textId="77777777" w:rsidR="00564FF6" w:rsidRPr="00AE7D59" w:rsidRDefault="00564FF6">
      <w:pPr>
        <w:pStyle w:val="DFARS"/>
        <w:tabs>
          <w:tab w:val="clear" w:pos="810"/>
          <w:tab w:val="left" w:pos="806"/>
        </w:tabs>
        <w:rPr>
          <w:szCs w:val="24"/>
        </w:rPr>
      </w:pPr>
    </w:p>
    <w:p w14:paraId="08502564" w14:textId="6992D4E9" w:rsidR="00AE7D59" w:rsidRDefault="00AE7D5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 w:rsidRPr="00AE7D59">
        <w:rPr>
          <w:rFonts w:ascii="Century Schoolbook" w:hAnsi="Century Schoolbook"/>
          <w:sz w:val="24"/>
          <w:szCs w:val="24"/>
        </w:rPr>
        <w:t>* * * * *</w:t>
      </w:r>
    </w:p>
    <w:p w14:paraId="40FEEDCC" w14:textId="77777777" w:rsidR="00BE2F26" w:rsidRPr="00AE7D59" w:rsidRDefault="00BE2F2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7F749340" w14:textId="1887BAC7" w:rsidR="00AE7D59" w:rsidRDefault="00AE7D59" w:rsidP="00F57AA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hAnsi="Century Schoolbook"/>
          <w:b/>
          <w:sz w:val="24"/>
          <w:szCs w:val="24"/>
        </w:rPr>
      </w:pPr>
      <w:r w:rsidRPr="00AE7D59">
        <w:rPr>
          <w:rFonts w:ascii="Century Schoolbook" w:hAnsi="Century Schoolbook"/>
          <w:b/>
          <w:sz w:val="24"/>
          <w:szCs w:val="24"/>
        </w:rPr>
        <w:t>PART 237</w:t>
      </w:r>
      <w:r w:rsidR="003943F4">
        <w:rPr>
          <w:rFonts w:ascii="Century Schoolbook" w:hAnsi="Century Schoolbook"/>
          <w:b/>
          <w:sz w:val="24"/>
          <w:szCs w:val="24"/>
        </w:rPr>
        <w:t>—</w:t>
      </w:r>
      <w:r w:rsidRPr="00AE7D59">
        <w:rPr>
          <w:rFonts w:ascii="Century Schoolbook" w:hAnsi="Century Schoolbook"/>
          <w:b/>
          <w:sz w:val="24"/>
          <w:szCs w:val="24"/>
        </w:rPr>
        <w:t>SERVICE CONTRACTING</w:t>
      </w:r>
    </w:p>
    <w:p w14:paraId="7D617FC8" w14:textId="77777777" w:rsidR="00BE2F26" w:rsidRPr="00AE7D59" w:rsidRDefault="00BE2F2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35432AA5" w14:textId="274C4FEE" w:rsidR="00AE7D59" w:rsidRPr="00AE7D59" w:rsidRDefault="00AE7D5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 w:rsidRPr="00AE7D59">
        <w:rPr>
          <w:rFonts w:ascii="Century Schoolbook" w:hAnsi="Century Schoolbook"/>
          <w:sz w:val="24"/>
          <w:szCs w:val="24"/>
        </w:rPr>
        <w:t>*</w:t>
      </w:r>
      <w:r>
        <w:rPr>
          <w:rFonts w:ascii="Century Schoolbook" w:hAnsi="Century Schoolbook"/>
          <w:sz w:val="24"/>
          <w:szCs w:val="24"/>
        </w:rPr>
        <w:t xml:space="preserve"> * * * *</w:t>
      </w:r>
    </w:p>
    <w:p w14:paraId="2C7ACD54" w14:textId="77777777" w:rsidR="00AE7D59" w:rsidRPr="00065D43" w:rsidRDefault="00AE7D59">
      <w:pPr>
        <w:pStyle w:val="DFARS"/>
        <w:tabs>
          <w:tab w:val="clear" w:pos="810"/>
          <w:tab w:val="left" w:pos="806"/>
        </w:tabs>
        <w:jc w:val="center"/>
        <w:rPr>
          <w:b/>
          <w:szCs w:val="24"/>
        </w:rPr>
      </w:pPr>
      <w:r w:rsidRPr="00065D43">
        <w:rPr>
          <w:b/>
          <w:szCs w:val="24"/>
        </w:rPr>
        <w:t>SUBPART 237.1--SERVICE CONTRACTS--GENERAL</w:t>
      </w:r>
    </w:p>
    <w:p w14:paraId="5C3963F8" w14:textId="77777777" w:rsidR="00AE7D59" w:rsidRDefault="00AE7D59">
      <w:pPr>
        <w:pStyle w:val="DFARS"/>
        <w:tabs>
          <w:tab w:val="clear" w:pos="810"/>
          <w:tab w:val="left" w:pos="806"/>
        </w:tabs>
        <w:rPr>
          <w:szCs w:val="24"/>
        </w:rPr>
      </w:pPr>
    </w:p>
    <w:p w14:paraId="20BCF743" w14:textId="2E54B8A9" w:rsidR="00AE7D59" w:rsidRPr="003A6A47" w:rsidRDefault="00AE7D59">
      <w:pPr>
        <w:pStyle w:val="DFARS"/>
        <w:tabs>
          <w:tab w:val="clear" w:pos="810"/>
          <w:tab w:val="left" w:pos="806"/>
          <w:tab w:val="right" w:pos="9360"/>
        </w:tabs>
        <w:rPr>
          <w:strike/>
          <w:szCs w:val="24"/>
        </w:rPr>
      </w:pPr>
      <w:r w:rsidRPr="003A6A47">
        <w:rPr>
          <w:b/>
          <w:szCs w:val="24"/>
        </w:rPr>
        <w:t>237.102-76</w:t>
      </w:r>
      <w:r w:rsidR="00B346C4">
        <w:rPr>
          <w:b/>
          <w:szCs w:val="24"/>
        </w:rPr>
        <w:t xml:space="preserve"> </w:t>
      </w:r>
      <w:r w:rsidR="0015481A" w:rsidRPr="00F57AA4">
        <w:rPr>
          <w:b/>
          <w:szCs w:val="24"/>
        </w:rPr>
        <w:t xml:space="preserve"> </w:t>
      </w:r>
      <w:r w:rsidR="0015481A" w:rsidRPr="003A6A47">
        <w:rPr>
          <w:b/>
          <w:szCs w:val="24"/>
        </w:rPr>
        <w:t>[Reserved</w:t>
      </w:r>
      <w:r w:rsidR="00FE0E06">
        <w:rPr>
          <w:b/>
          <w:szCs w:val="24"/>
        </w:rPr>
        <w:t>.</w:t>
      </w:r>
      <w:r w:rsidR="0015481A" w:rsidRPr="003A6A47">
        <w:rPr>
          <w:b/>
          <w:szCs w:val="24"/>
        </w:rPr>
        <w:t>]</w:t>
      </w:r>
      <w:r w:rsidRPr="003A6A47">
        <w:rPr>
          <w:b/>
          <w:strike/>
          <w:szCs w:val="24"/>
        </w:rPr>
        <w:t xml:space="preserve">  Review criteria for the acquisition of services</w:t>
      </w:r>
      <w:r w:rsidRPr="003A6A47">
        <w:rPr>
          <w:strike/>
          <w:szCs w:val="24"/>
        </w:rPr>
        <w:t>.</w:t>
      </w:r>
    </w:p>
    <w:p w14:paraId="2D95FD16" w14:textId="3DCD53A0" w:rsidR="00AE7D59" w:rsidRPr="00B65E7D" w:rsidRDefault="00AE7D59">
      <w:pPr>
        <w:pStyle w:val="DFARS"/>
        <w:tabs>
          <w:tab w:val="clear" w:pos="810"/>
          <w:tab w:val="left" w:pos="806"/>
        </w:tabs>
        <w:rPr>
          <w:strike/>
          <w:szCs w:val="24"/>
        </w:rPr>
      </w:pPr>
      <w:r w:rsidRPr="003A6A47">
        <w:rPr>
          <w:strike/>
          <w:szCs w:val="24"/>
        </w:rPr>
        <w:t>See PGI 237.102-76 for tenets and review criteria to be used when conducting preaward and postaward reviews for the acquisition of services.</w:t>
      </w:r>
    </w:p>
    <w:sectPr w:rsidR="00AE7D59" w:rsidRPr="00B65E7D" w:rsidSect="0028599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3245F" w14:textId="77777777" w:rsidR="000E0EF8" w:rsidRDefault="000E0EF8" w:rsidP="00750ED5">
      <w:pPr>
        <w:spacing w:after="0" w:line="240" w:lineRule="auto"/>
      </w:pPr>
      <w:r>
        <w:separator/>
      </w:r>
    </w:p>
  </w:endnote>
  <w:endnote w:type="continuationSeparator" w:id="0">
    <w:p w14:paraId="6E057875" w14:textId="77777777" w:rsidR="000E0EF8" w:rsidRDefault="000E0EF8" w:rsidP="00750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BF0AA" w14:textId="77777777" w:rsidR="00555A45" w:rsidRDefault="00555A45" w:rsidP="00555A45">
    <w:pPr>
      <w:pStyle w:val="Footer"/>
      <w:jc w:val="both"/>
      <w:rPr>
        <w:rFonts w:ascii="Calibri" w:hAnsi="Calibri"/>
        <w:b/>
        <w:sz w:val="16"/>
        <w:szCs w:val="16"/>
        <w:u w:val="single"/>
      </w:rPr>
    </w:pPr>
  </w:p>
  <w:p w14:paraId="183C639C" w14:textId="73731DA3" w:rsidR="00B94EAC" w:rsidRPr="000A67C0" w:rsidRDefault="00555A45" w:rsidP="00F57AA4">
    <w:pPr>
      <w:pStyle w:val="Footer"/>
      <w:jc w:val="center"/>
    </w:pPr>
    <w:r w:rsidRPr="000A67C0">
      <w:rPr>
        <w:rFonts w:ascii="Calibri" w:hAnsi="Calibri"/>
      </w:rPr>
      <w:t xml:space="preserve">Page </w:t>
    </w:r>
    <w:r w:rsidRPr="000A67C0">
      <w:rPr>
        <w:rFonts w:ascii="Calibri" w:hAnsi="Calibri"/>
      </w:rPr>
      <w:fldChar w:fldCharType="begin"/>
    </w:r>
    <w:r w:rsidRPr="000A67C0">
      <w:rPr>
        <w:rFonts w:ascii="Calibri" w:hAnsi="Calibri"/>
      </w:rPr>
      <w:instrText xml:space="preserve"> PAGE </w:instrText>
    </w:r>
    <w:r w:rsidRPr="000A67C0">
      <w:rPr>
        <w:rFonts w:ascii="Calibri" w:hAnsi="Calibri"/>
      </w:rPr>
      <w:fldChar w:fldCharType="separate"/>
    </w:r>
    <w:r w:rsidR="00CD0E9E">
      <w:rPr>
        <w:rFonts w:ascii="Calibri" w:hAnsi="Calibri"/>
        <w:noProof/>
      </w:rPr>
      <w:t>2</w:t>
    </w:r>
    <w:r w:rsidRPr="000A67C0">
      <w:rPr>
        <w:rFonts w:ascii="Calibri" w:hAnsi="Calibri"/>
      </w:rPr>
      <w:fldChar w:fldCharType="end"/>
    </w:r>
    <w:r w:rsidRPr="000A67C0">
      <w:rPr>
        <w:rFonts w:ascii="Calibri" w:hAnsi="Calibri"/>
      </w:rPr>
      <w:t xml:space="preserve"> of </w:t>
    </w:r>
    <w:r w:rsidRPr="000A67C0">
      <w:rPr>
        <w:rFonts w:ascii="Calibri" w:hAnsi="Calibri"/>
      </w:rPr>
      <w:fldChar w:fldCharType="begin"/>
    </w:r>
    <w:r w:rsidRPr="000A67C0">
      <w:rPr>
        <w:rFonts w:ascii="Calibri" w:hAnsi="Calibri"/>
      </w:rPr>
      <w:instrText xml:space="preserve"> NUMPAGES  </w:instrText>
    </w:r>
    <w:r w:rsidRPr="000A67C0">
      <w:rPr>
        <w:rFonts w:ascii="Calibri" w:hAnsi="Calibri"/>
      </w:rPr>
      <w:fldChar w:fldCharType="separate"/>
    </w:r>
    <w:r w:rsidR="00CD0E9E">
      <w:rPr>
        <w:rFonts w:ascii="Calibri" w:hAnsi="Calibri"/>
        <w:noProof/>
      </w:rPr>
      <w:t>2</w:t>
    </w:r>
    <w:r w:rsidRPr="000A67C0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970299" w14:textId="77777777" w:rsidR="000E0EF8" w:rsidRDefault="000E0EF8" w:rsidP="00750ED5">
      <w:pPr>
        <w:spacing w:after="0" w:line="240" w:lineRule="auto"/>
      </w:pPr>
      <w:r>
        <w:separator/>
      </w:r>
    </w:p>
  </w:footnote>
  <w:footnote w:type="continuationSeparator" w:id="0">
    <w:p w14:paraId="4F8E0870" w14:textId="77777777" w:rsidR="000E0EF8" w:rsidRDefault="000E0EF8" w:rsidP="00750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55B3C"/>
    <w:multiLevelType w:val="hybridMultilevel"/>
    <w:tmpl w:val="B8D41442"/>
    <w:lvl w:ilvl="0" w:tplc="2D94F35C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D420589"/>
    <w:multiLevelType w:val="hybridMultilevel"/>
    <w:tmpl w:val="8DFED9BA"/>
    <w:lvl w:ilvl="0" w:tplc="16040686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4A7351E"/>
    <w:multiLevelType w:val="hybridMultilevel"/>
    <w:tmpl w:val="DD7C59DA"/>
    <w:lvl w:ilvl="0" w:tplc="9E6E560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25372"/>
    <w:multiLevelType w:val="hybridMultilevel"/>
    <w:tmpl w:val="04BC1D9A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BC5204"/>
    <w:multiLevelType w:val="hybridMultilevel"/>
    <w:tmpl w:val="9EE4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477BE"/>
    <w:multiLevelType w:val="hybridMultilevel"/>
    <w:tmpl w:val="169492EE"/>
    <w:lvl w:ilvl="0" w:tplc="ABFC90F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B531E"/>
    <w:multiLevelType w:val="hybridMultilevel"/>
    <w:tmpl w:val="D2D60764"/>
    <w:lvl w:ilvl="0" w:tplc="17EE8D30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36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F6"/>
    <w:rsid w:val="0000146F"/>
    <w:rsid w:val="0000323E"/>
    <w:rsid w:val="0000373F"/>
    <w:rsid w:val="00022781"/>
    <w:rsid w:val="00023048"/>
    <w:rsid w:val="00053EEF"/>
    <w:rsid w:val="000571F6"/>
    <w:rsid w:val="00060EA1"/>
    <w:rsid w:val="0006387D"/>
    <w:rsid w:val="000A67C0"/>
    <w:rsid w:val="000C2031"/>
    <w:rsid w:val="000C725B"/>
    <w:rsid w:val="000E0EF8"/>
    <w:rsid w:val="000E2398"/>
    <w:rsid w:val="000F774B"/>
    <w:rsid w:val="0010608B"/>
    <w:rsid w:val="001122CA"/>
    <w:rsid w:val="00113340"/>
    <w:rsid w:val="00116C67"/>
    <w:rsid w:val="00121CEA"/>
    <w:rsid w:val="00130BFA"/>
    <w:rsid w:val="00134C35"/>
    <w:rsid w:val="00144583"/>
    <w:rsid w:val="0015481A"/>
    <w:rsid w:val="00191D23"/>
    <w:rsid w:val="001936B1"/>
    <w:rsid w:val="00193E61"/>
    <w:rsid w:val="001A1615"/>
    <w:rsid w:val="001B13B2"/>
    <w:rsid w:val="001B2EBC"/>
    <w:rsid w:val="001B6718"/>
    <w:rsid w:val="001C4AA4"/>
    <w:rsid w:val="001D22D0"/>
    <w:rsid w:val="001D4278"/>
    <w:rsid w:val="001E0DBA"/>
    <w:rsid w:val="00216D01"/>
    <w:rsid w:val="00220CE1"/>
    <w:rsid w:val="00230E5D"/>
    <w:rsid w:val="0026766F"/>
    <w:rsid w:val="00285994"/>
    <w:rsid w:val="002A0596"/>
    <w:rsid w:val="002A7221"/>
    <w:rsid w:val="002A7CF2"/>
    <w:rsid w:val="002C051F"/>
    <w:rsid w:val="002C3423"/>
    <w:rsid w:val="002C6C8A"/>
    <w:rsid w:val="002D4706"/>
    <w:rsid w:val="002D7C30"/>
    <w:rsid w:val="003104EF"/>
    <w:rsid w:val="003336D2"/>
    <w:rsid w:val="00362245"/>
    <w:rsid w:val="00376D75"/>
    <w:rsid w:val="0039029C"/>
    <w:rsid w:val="00390714"/>
    <w:rsid w:val="003936CA"/>
    <w:rsid w:val="003943F4"/>
    <w:rsid w:val="003A331F"/>
    <w:rsid w:val="003A6A47"/>
    <w:rsid w:val="003B610F"/>
    <w:rsid w:val="003C611B"/>
    <w:rsid w:val="003D5DE3"/>
    <w:rsid w:val="003E37E9"/>
    <w:rsid w:val="003F4A23"/>
    <w:rsid w:val="00407EC9"/>
    <w:rsid w:val="00410167"/>
    <w:rsid w:val="0043015D"/>
    <w:rsid w:val="00446F36"/>
    <w:rsid w:val="00451E33"/>
    <w:rsid w:val="00455EA0"/>
    <w:rsid w:val="004574B6"/>
    <w:rsid w:val="00465762"/>
    <w:rsid w:val="004775F4"/>
    <w:rsid w:val="0048774E"/>
    <w:rsid w:val="004B43CF"/>
    <w:rsid w:val="004C7F92"/>
    <w:rsid w:val="004D3A04"/>
    <w:rsid w:val="004D44EB"/>
    <w:rsid w:val="00501123"/>
    <w:rsid w:val="005101BF"/>
    <w:rsid w:val="005163C9"/>
    <w:rsid w:val="00520149"/>
    <w:rsid w:val="00535BEB"/>
    <w:rsid w:val="0055223D"/>
    <w:rsid w:val="00555A45"/>
    <w:rsid w:val="00564FF6"/>
    <w:rsid w:val="00574183"/>
    <w:rsid w:val="0059141C"/>
    <w:rsid w:val="005A439A"/>
    <w:rsid w:val="005C41F5"/>
    <w:rsid w:val="005D5C69"/>
    <w:rsid w:val="005E375A"/>
    <w:rsid w:val="005F0440"/>
    <w:rsid w:val="0061695D"/>
    <w:rsid w:val="00616A4B"/>
    <w:rsid w:val="00650838"/>
    <w:rsid w:val="00652A63"/>
    <w:rsid w:val="00655A71"/>
    <w:rsid w:val="00673BDF"/>
    <w:rsid w:val="00681759"/>
    <w:rsid w:val="006C2670"/>
    <w:rsid w:val="006E4964"/>
    <w:rsid w:val="006F580E"/>
    <w:rsid w:val="00700048"/>
    <w:rsid w:val="007054DC"/>
    <w:rsid w:val="00707E00"/>
    <w:rsid w:val="00716953"/>
    <w:rsid w:val="0072152D"/>
    <w:rsid w:val="00742DFE"/>
    <w:rsid w:val="00746D87"/>
    <w:rsid w:val="00750ED5"/>
    <w:rsid w:val="00754398"/>
    <w:rsid w:val="00763612"/>
    <w:rsid w:val="00776443"/>
    <w:rsid w:val="00784FF1"/>
    <w:rsid w:val="00785ACD"/>
    <w:rsid w:val="00793884"/>
    <w:rsid w:val="007B09BA"/>
    <w:rsid w:val="007C0549"/>
    <w:rsid w:val="007C3025"/>
    <w:rsid w:val="007C7E04"/>
    <w:rsid w:val="007D2BF5"/>
    <w:rsid w:val="007D5217"/>
    <w:rsid w:val="007F4DB0"/>
    <w:rsid w:val="00802901"/>
    <w:rsid w:val="00811FE0"/>
    <w:rsid w:val="008210C9"/>
    <w:rsid w:val="00823B48"/>
    <w:rsid w:val="0082655C"/>
    <w:rsid w:val="00834F9F"/>
    <w:rsid w:val="00836BFB"/>
    <w:rsid w:val="00844FC6"/>
    <w:rsid w:val="00851457"/>
    <w:rsid w:val="00860D63"/>
    <w:rsid w:val="00873D39"/>
    <w:rsid w:val="008864FC"/>
    <w:rsid w:val="00890C45"/>
    <w:rsid w:val="008A1074"/>
    <w:rsid w:val="008A5F8F"/>
    <w:rsid w:val="008B2D42"/>
    <w:rsid w:val="008C4F9B"/>
    <w:rsid w:val="008D0844"/>
    <w:rsid w:val="008E34EA"/>
    <w:rsid w:val="008F0797"/>
    <w:rsid w:val="008F4F27"/>
    <w:rsid w:val="008F62BD"/>
    <w:rsid w:val="008F776B"/>
    <w:rsid w:val="009003EA"/>
    <w:rsid w:val="0090240D"/>
    <w:rsid w:val="00905726"/>
    <w:rsid w:val="009106ED"/>
    <w:rsid w:val="00943EF6"/>
    <w:rsid w:val="00955353"/>
    <w:rsid w:val="00955A69"/>
    <w:rsid w:val="009635CB"/>
    <w:rsid w:val="00966C9F"/>
    <w:rsid w:val="009722D1"/>
    <w:rsid w:val="00982CCD"/>
    <w:rsid w:val="00987FB4"/>
    <w:rsid w:val="009917D2"/>
    <w:rsid w:val="009B6F40"/>
    <w:rsid w:val="009C404B"/>
    <w:rsid w:val="009D1C72"/>
    <w:rsid w:val="009D3316"/>
    <w:rsid w:val="009D6E2A"/>
    <w:rsid w:val="009F4C14"/>
    <w:rsid w:val="00A1174B"/>
    <w:rsid w:val="00A258D6"/>
    <w:rsid w:val="00A34720"/>
    <w:rsid w:val="00A37908"/>
    <w:rsid w:val="00A47A30"/>
    <w:rsid w:val="00A54D26"/>
    <w:rsid w:val="00A56391"/>
    <w:rsid w:val="00A66590"/>
    <w:rsid w:val="00A702FE"/>
    <w:rsid w:val="00A766F7"/>
    <w:rsid w:val="00A80209"/>
    <w:rsid w:val="00A803A8"/>
    <w:rsid w:val="00A92FBC"/>
    <w:rsid w:val="00A95214"/>
    <w:rsid w:val="00AD30BE"/>
    <w:rsid w:val="00AE7D59"/>
    <w:rsid w:val="00B107E7"/>
    <w:rsid w:val="00B17F6E"/>
    <w:rsid w:val="00B31CB3"/>
    <w:rsid w:val="00B346C4"/>
    <w:rsid w:val="00B37630"/>
    <w:rsid w:val="00B44EED"/>
    <w:rsid w:val="00B47624"/>
    <w:rsid w:val="00B6294B"/>
    <w:rsid w:val="00B65E7D"/>
    <w:rsid w:val="00B8241F"/>
    <w:rsid w:val="00B94EAC"/>
    <w:rsid w:val="00B96D01"/>
    <w:rsid w:val="00B97E91"/>
    <w:rsid w:val="00BA0A65"/>
    <w:rsid w:val="00BB5070"/>
    <w:rsid w:val="00BC5072"/>
    <w:rsid w:val="00BC7FDB"/>
    <w:rsid w:val="00BD7DF7"/>
    <w:rsid w:val="00BE2F26"/>
    <w:rsid w:val="00C24A61"/>
    <w:rsid w:val="00C26AC0"/>
    <w:rsid w:val="00C31761"/>
    <w:rsid w:val="00C46FD2"/>
    <w:rsid w:val="00C6105B"/>
    <w:rsid w:val="00C7494D"/>
    <w:rsid w:val="00C765CB"/>
    <w:rsid w:val="00C76DD4"/>
    <w:rsid w:val="00C8196F"/>
    <w:rsid w:val="00C832D2"/>
    <w:rsid w:val="00C944F3"/>
    <w:rsid w:val="00C96F43"/>
    <w:rsid w:val="00CA002D"/>
    <w:rsid w:val="00CA28FE"/>
    <w:rsid w:val="00CA4028"/>
    <w:rsid w:val="00CB13A6"/>
    <w:rsid w:val="00CB6CD6"/>
    <w:rsid w:val="00CC20E0"/>
    <w:rsid w:val="00CD026C"/>
    <w:rsid w:val="00CD0E9E"/>
    <w:rsid w:val="00CE0A59"/>
    <w:rsid w:val="00CF1580"/>
    <w:rsid w:val="00D00B5E"/>
    <w:rsid w:val="00D14081"/>
    <w:rsid w:val="00D213E4"/>
    <w:rsid w:val="00D274EB"/>
    <w:rsid w:val="00D419FA"/>
    <w:rsid w:val="00D477A9"/>
    <w:rsid w:val="00D50BA2"/>
    <w:rsid w:val="00D752DA"/>
    <w:rsid w:val="00D82197"/>
    <w:rsid w:val="00D85252"/>
    <w:rsid w:val="00DB323F"/>
    <w:rsid w:val="00DC0394"/>
    <w:rsid w:val="00DC0D2C"/>
    <w:rsid w:val="00DC40A7"/>
    <w:rsid w:val="00DC571A"/>
    <w:rsid w:val="00DD7C5E"/>
    <w:rsid w:val="00DF0217"/>
    <w:rsid w:val="00E64851"/>
    <w:rsid w:val="00E6790E"/>
    <w:rsid w:val="00E71379"/>
    <w:rsid w:val="00E80150"/>
    <w:rsid w:val="00E818C0"/>
    <w:rsid w:val="00E900EF"/>
    <w:rsid w:val="00E90D40"/>
    <w:rsid w:val="00EA1F19"/>
    <w:rsid w:val="00EB09B0"/>
    <w:rsid w:val="00EB5F2D"/>
    <w:rsid w:val="00EC6589"/>
    <w:rsid w:val="00ED51CD"/>
    <w:rsid w:val="00ED6C75"/>
    <w:rsid w:val="00EE2B8A"/>
    <w:rsid w:val="00EF11A1"/>
    <w:rsid w:val="00EF11B2"/>
    <w:rsid w:val="00F0627B"/>
    <w:rsid w:val="00F0794F"/>
    <w:rsid w:val="00F07991"/>
    <w:rsid w:val="00F1371E"/>
    <w:rsid w:val="00F21533"/>
    <w:rsid w:val="00F43D9E"/>
    <w:rsid w:val="00F57AA4"/>
    <w:rsid w:val="00F62ED9"/>
    <w:rsid w:val="00F6645B"/>
    <w:rsid w:val="00F705E3"/>
    <w:rsid w:val="00F82362"/>
    <w:rsid w:val="00FB0510"/>
    <w:rsid w:val="00FE0E06"/>
    <w:rsid w:val="00FE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BDE27"/>
  <w15:docId w15:val="{24510B5B-F3FB-A14C-8CF4-1F5D9F40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564FF6"/>
    <w:rPr>
      <w:color w:val="0000FF"/>
      <w:u w:val="single"/>
    </w:rPr>
  </w:style>
  <w:style w:type="paragraph" w:customStyle="1" w:styleId="DFARS">
    <w:name w:val="DFARS"/>
    <w:basedOn w:val="Normal"/>
    <w:link w:val="DFARSChar"/>
    <w:rsid w:val="00564FF6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750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ED5"/>
  </w:style>
  <w:style w:type="paragraph" w:styleId="Footer">
    <w:name w:val="footer"/>
    <w:basedOn w:val="Normal"/>
    <w:link w:val="FooterChar"/>
    <w:uiPriority w:val="99"/>
    <w:unhideWhenUsed/>
    <w:rsid w:val="00750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ED5"/>
  </w:style>
  <w:style w:type="character" w:customStyle="1" w:styleId="DFARSChar">
    <w:name w:val="DFARS Char"/>
    <w:link w:val="DFARS"/>
    <w:rsid w:val="00655A71"/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655A71"/>
  </w:style>
  <w:style w:type="character" w:styleId="CommentReference">
    <w:name w:val="annotation reference"/>
    <w:basedOn w:val="DefaultParagraphFont"/>
    <w:uiPriority w:val="99"/>
    <w:semiHidden/>
    <w:unhideWhenUsed/>
    <w:rsid w:val="00B629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2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29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29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29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9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E7D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1C72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96F43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1B2EBC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2EBC"/>
    <w:rPr>
      <w:rFonts w:ascii="Calibri" w:hAnsi="Calibri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5A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5A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5A6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A40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402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A40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osd.pentagon.ousd-a-s.mbx.dpc-pcf@mail.mi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osd.pentagon.ousd-a-s.mbx.dpc-cp@mail.mi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D67D0942F0646B0737D6FD8CC3E79" ma:contentTypeVersion="0" ma:contentTypeDescription="Create a new document." ma:contentTypeScope="" ma:versionID="708842dc5e4330ffb5a94f65630109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1F871-E36B-4D8C-A2FB-7283427E78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FEBBAB-C787-400D-8312-82018ED4896D}">
  <ds:schemaRefs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95DB975-79FC-45C7-90E1-00388402B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8A6DD1-F1B6-418F-A996-C0449617B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Hawes, Jennifer L CIV OSD OUSD A-S (USA)</dc:creator>
  <cp:keywords/>
  <dc:description/>
  <cp:lastModifiedBy>Overstreet, Mary E CTR OSD OUSD A-S (USA)</cp:lastModifiedBy>
  <cp:revision>2</cp:revision>
  <cp:lastPrinted>2021-09-22T16:41:00Z</cp:lastPrinted>
  <dcterms:created xsi:type="dcterms:W3CDTF">2021-11-16T00:14:00Z</dcterms:created>
  <dcterms:modified xsi:type="dcterms:W3CDTF">2021-11-16T00:14:00Z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0x010100CACD67D0942F0646B0737D6FD8CC3E79</vt:lpwstr>
  </property>
</Properties>
</file>