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E0C8" w14:textId="65F5795A" w:rsidR="00DA6257" w:rsidRPr="004668C9" w:rsidRDefault="00DA6257" w:rsidP="00C01036">
      <w:pPr>
        <w:tabs>
          <w:tab w:val="left" w:pos="360"/>
          <w:tab w:val="left" w:pos="806"/>
          <w:tab w:val="left" w:pos="1210"/>
          <w:tab w:val="left" w:pos="1656"/>
          <w:tab w:val="left" w:pos="2131"/>
          <w:tab w:val="left" w:pos="2520"/>
        </w:tabs>
        <w:spacing w:line="240" w:lineRule="exact"/>
        <w:jc w:val="center"/>
        <w:outlineLvl w:val="3"/>
        <w:rPr>
          <w:rFonts w:ascii="Century Schoolbook" w:hAnsi="Century Schoolbook" w:cs="Courier New"/>
          <w:b/>
          <w:bCs/>
        </w:rPr>
      </w:pPr>
      <w:r w:rsidRPr="004668C9">
        <w:rPr>
          <w:rFonts w:ascii="Century Schoolbook" w:hAnsi="Century Schoolbook" w:cs="Courier New"/>
          <w:b/>
          <w:bCs/>
        </w:rPr>
        <w:t>DFARS Case 2020-D029</w:t>
      </w:r>
    </w:p>
    <w:p w14:paraId="7CF438C9" w14:textId="78F6B969" w:rsidR="00DA6257" w:rsidRDefault="00DA6257" w:rsidP="00C01036">
      <w:pPr>
        <w:tabs>
          <w:tab w:val="left" w:pos="360"/>
          <w:tab w:val="left" w:pos="806"/>
          <w:tab w:val="left" w:pos="1210"/>
          <w:tab w:val="left" w:pos="1656"/>
          <w:tab w:val="left" w:pos="2131"/>
          <w:tab w:val="left" w:pos="2520"/>
        </w:tabs>
        <w:spacing w:line="240" w:lineRule="exact"/>
        <w:jc w:val="center"/>
        <w:outlineLvl w:val="3"/>
        <w:rPr>
          <w:rFonts w:ascii="Century Schoolbook" w:hAnsi="Century Schoolbook" w:cs="Courier New"/>
          <w:b/>
          <w:shd w:val="clear" w:color="auto" w:fill="FFFFFF"/>
        </w:rPr>
      </w:pPr>
      <w:r w:rsidRPr="004668C9">
        <w:rPr>
          <w:rFonts w:ascii="Century Schoolbook" w:hAnsi="Century Schoolbook" w:cs="Courier New"/>
          <w:b/>
          <w:shd w:val="clear" w:color="auto" w:fill="FFFFFF"/>
        </w:rPr>
        <w:t>Consolidation of DoD Government Property Clauses</w:t>
      </w:r>
    </w:p>
    <w:p w14:paraId="2C33E536" w14:textId="5DAE7973" w:rsidR="006005F9" w:rsidRPr="004668C9" w:rsidRDefault="006005F9" w:rsidP="00C01036">
      <w:pPr>
        <w:tabs>
          <w:tab w:val="left" w:pos="360"/>
          <w:tab w:val="left" w:pos="806"/>
          <w:tab w:val="left" w:pos="1210"/>
          <w:tab w:val="left" w:pos="1656"/>
          <w:tab w:val="left" w:pos="2131"/>
          <w:tab w:val="left" w:pos="2520"/>
        </w:tabs>
        <w:spacing w:line="240" w:lineRule="exact"/>
        <w:jc w:val="center"/>
        <w:outlineLvl w:val="3"/>
        <w:rPr>
          <w:rFonts w:ascii="Century Schoolbook" w:hAnsi="Century Schoolbook" w:cs="Courier New"/>
          <w:b/>
          <w:shd w:val="clear" w:color="auto" w:fill="FFFFFF"/>
        </w:rPr>
      </w:pPr>
      <w:r>
        <w:rPr>
          <w:rFonts w:ascii="Century Schoolbook" w:hAnsi="Century Schoolbook" w:cs="Courier New"/>
          <w:b/>
          <w:shd w:val="clear" w:color="auto" w:fill="FFFFFF"/>
        </w:rPr>
        <w:t>Final Rule</w:t>
      </w:r>
    </w:p>
    <w:p w14:paraId="40338469" w14:textId="46F5B0D6" w:rsidR="00DA6257" w:rsidRPr="004668C9" w:rsidRDefault="00DA6257" w:rsidP="00C01036">
      <w:pPr>
        <w:tabs>
          <w:tab w:val="left" w:pos="360"/>
          <w:tab w:val="left" w:pos="806"/>
          <w:tab w:val="left" w:pos="1210"/>
          <w:tab w:val="left" w:pos="1656"/>
          <w:tab w:val="left" w:pos="2131"/>
          <w:tab w:val="left" w:pos="2520"/>
        </w:tabs>
        <w:spacing w:line="240" w:lineRule="exact"/>
        <w:jc w:val="center"/>
        <w:outlineLvl w:val="3"/>
        <w:rPr>
          <w:rFonts w:ascii="Century Schoolbook" w:hAnsi="Century Schoolbook" w:cs="Courier New"/>
          <w:b/>
          <w:bCs/>
        </w:rPr>
      </w:pPr>
      <w:r>
        <w:rPr>
          <w:rFonts w:ascii="Century Schoolbook" w:hAnsi="Century Schoolbook" w:cs="Courier New"/>
          <w:b/>
          <w:bCs/>
        </w:rPr>
        <w:t>PGI</w:t>
      </w:r>
      <w:r w:rsidR="002B4DF7">
        <w:rPr>
          <w:rFonts w:ascii="Century Schoolbook" w:hAnsi="Century Schoolbook" w:cs="Courier New"/>
          <w:b/>
          <w:bCs/>
        </w:rPr>
        <w:t xml:space="preserve"> Text</w:t>
      </w:r>
    </w:p>
    <w:p w14:paraId="2E8890F2" w14:textId="1595F9B7" w:rsidR="00523F57" w:rsidRDefault="00523F57" w:rsidP="00C01036">
      <w:pPr>
        <w:tabs>
          <w:tab w:val="left" w:pos="360"/>
          <w:tab w:val="left" w:pos="806"/>
          <w:tab w:val="left" w:pos="1210"/>
          <w:tab w:val="left" w:pos="1656"/>
          <w:tab w:val="left" w:pos="2131"/>
          <w:tab w:val="left" w:pos="2520"/>
        </w:tabs>
        <w:spacing w:line="240" w:lineRule="exact"/>
        <w:rPr>
          <w:rFonts w:ascii="Arial" w:hAnsi="Arial" w:cs="Arial"/>
        </w:rPr>
      </w:pPr>
    </w:p>
    <w:p w14:paraId="0B6E69C9" w14:textId="77777777" w:rsidR="002B4DF7" w:rsidRPr="009E51D6" w:rsidRDefault="002B4DF7" w:rsidP="00C01036">
      <w:pPr>
        <w:tabs>
          <w:tab w:val="left" w:pos="360"/>
          <w:tab w:val="left" w:pos="806"/>
          <w:tab w:val="left" w:pos="1210"/>
          <w:tab w:val="left" w:pos="1656"/>
          <w:tab w:val="left" w:pos="2131"/>
          <w:tab w:val="left" w:pos="2520"/>
        </w:tabs>
        <w:spacing w:line="240" w:lineRule="exact"/>
        <w:rPr>
          <w:rFonts w:ascii="Arial" w:hAnsi="Arial" w:cs="Arial"/>
        </w:rPr>
      </w:pPr>
    </w:p>
    <w:p w14:paraId="12C39C84" w14:textId="40C9727A"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201—Federal Acquisition Regulations System</w:t>
      </w:r>
    </w:p>
    <w:p w14:paraId="59B94893" w14:textId="77777777"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397AEE5A" w14:textId="624705E0"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201.1—PURPOSE, AUTHORITY, ISSUANCE</w:t>
      </w:r>
    </w:p>
    <w:p w14:paraId="475622FF" w14:textId="77777777"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0B169FE6" w14:textId="64D7D6BE" w:rsidR="009E51D6" w:rsidRPr="009E51D6" w:rsidRDefault="00A86EB1"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xml:space="preserve">PGI 201.106  </w:t>
      </w:r>
      <w:r w:rsidR="009E51D6" w:rsidRPr="009E51D6">
        <w:rPr>
          <w:rFonts w:ascii="Arial" w:hAnsi="Arial" w:cs="Arial"/>
          <w:b/>
          <w:bCs/>
        </w:rPr>
        <w:t>OMB approval under the Paperwork Reduction Act.</w:t>
      </w:r>
    </w:p>
    <w:p w14:paraId="19823BB3" w14:textId="74B6F72D" w:rsidR="00DA6257" w:rsidRDefault="00DA6257" w:rsidP="00C01036">
      <w:pPr>
        <w:tabs>
          <w:tab w:val="left" w:pos="360"/>
          <w:tab w:val="left" w:pos="806"/>
          <w:tab w:val="left" w:pos="1210"/>
          <w:tab w:val="left" w:pos="1656"/>
          <w:tab w:val="left" w:pos="2131"/>
          <w:tab w:val="left" w:pos="2520"/>
        </w:tabs>
        <w:spacing w:line="240" w:lineRule="exact"/>
        <w:rPr>
          <w:rFonts w:ascii="Arial" w:hAnsi="Arial" w:cs="Arial"/>
        </w:rPr>
      </w:pPr>
    </w:p>
    <w:p w14:paraId="2044DA45" w14:textId="5C355C04" w:rsidR="00A429FF" w:rsidRPr="00A429FF" w:rsidRDefault="00A86EB1"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T</w:t>
      </w:r>
      <w:r w:rsidR="00A429FF" w:rsidRPr="00A429FF">
        <w:rPr>
          <w:rFonts w:ascii="Arial" w:hAnsi="Arial" w:cs="Arial"/>
        </w:rPr>
        <w:t xml:space="preserve">he information collection and record keeping requirements contained in the Defense Federal Acquisition Regulation Supplement (DFARS) and Procedures, Guidance, and Information (PGI) have been approved by the Office of Management and Budget. </w:t>
      </w:r>
      <w:r w:rsidR="002B4DF7">
        <w:rPr>
          <w:rFonts w:ascii="Arial" w:hAnsi="Arial" w:cs="Arial"/>
        </w:rPr>
        <w:t xml:space="preserve"> </w:t>
      </w:r>
      <w:r w:rsidR="00A429FF" w:rsidRPr="00A429FF">
        <w:rPr>
          <w:rFonts w:ascii="Arial" w:hAnsi="Arial" w:cs="Arial"/>
        </w:rPr>
        <w:t>The following OMB control numbers apply:</w:t>
      </w:r>
    </w:p>
    <w:p w14:paraId="6DFDF71C" w14:textId="77777777" w:rsidR="00A429FF" w:rsidRPr="009E51D6" w:rsidRDefault="00A429FF" w:rsidP="00C01036">
      <w:pPr>
        <w:tabs>
          <w:tab w:val="left" w:pos="360"/>
          <w:tab w:val="left" w:pos="806"/>
          <w:tab w:val="left" w:pos="1210"/>
          <w:tab w:val="left" w:pos="1656"/>
          <w:tab w:val="left" w:pos="2131"/>
          <w:tab w:val="left" w:pos="2520"/>
        </w:tabs>
        <w:spacing w:line="240" w:lineRule="exact"/>
        <w:rPr>
          <w:rFonts w:ascii="Arial" w:hAnsi="Arial" w:cs="Arial"/>
        </w:rPr>
      </w:pPr>
    </w:p>
    <w:p w14:paraId="07D32BAD" w14:textId="385F7593" w:rsidR="00DA6257" w:rsidRPr="00352C87" w:rsidRDefault="00A429FF" w:rsidP="00C01036">
      <w:pPr>
        <w:tabs>
          <w:tab w:val="left" w:pos="360"/>
          <w:tab w:val="left" w:pos="806"/>
          <w:tab w:val="left" w:pos="1210"/>
          <w:tab w:val="left" w:pos="1656"/>
          <w:tab w:val="left" w:pos="2131"/>
          <w:tab w:val="left" w:pos="2520"/>
        </w:tabs>
        <w:spacing w:line="240" w:lineRule="exact"/>
        <w:rPr>
          <w:rFonts w:ascii="Arial" w:hAnsi="Arial" w:cs="Arial"/>
        </w:rPr>
      </w:pPr>
      <w:r w:rsidRPr="00352C87">
        <w:rPr>
          <w:rFonts w:ascii="Arial" w:hAnsi="Arial" w:cs="Arial"/>
        </w:rPr>
        <w:tab/>
      </w:r>
      <w:r w:rsidRPr="00352C87">
        <w:rPr>
          <w:rFonts w:ascii="Arial" w:hAnsi="Arial" w:cs="Arial"/>
        </w:rPr>
        <w:tab/>
      </w:r>
      <w:r w:rsidR="009E51D6" w:rsidRPr="00352C87">
        <w:rPr>
          <w:rFonts w:ascii="Arial" w:hAnsi="Arial" w:cs="Arial"/>
        </w:rPr>
        <w:t>DFARS Segment</w:t>
      </w:r>
      <w:r w:rsidR="009E51D6" w:rsidRPr="00352C87">
        <w:rPr>
          <w:rFonts w:ascii="Arial" w:hAnsi="Arial" w:cs="Arial"/>
        </w:rPr>
        <w:tab/>
      </w:r>
      <w:r w:rsidR="00352C87">
        <w:rPr>
          <w:rFonts w:ascii="Arial" w:hAnsi="Arial" w:cs="Arial"/>
        </w:rPr>
        <w:tab/>
      </w:r>
      <w:r w:rsidR="009E51D6" w:rsidRPr="00352C87">
        <w:rPr>
          <w:rFonts w:ascii="Arial" w:hAnsi="Arial" w:cs="Arial"/>
        </w:rPr>
        <w:t>OMB Control No.</w:t>
      </w:r>
    </w:p>
    <w:p w14:paraId="1C02528D" w14:textId="2025BCF9" w:rsidR="0000238D" w:rsidRPr="00352C87" w:rsidRDefault="0000238D" w:rsidP="00C01036">
      <w:pPr>
        <w:tabs>
          <w:tab w:val="left" w:pos="360"/>
          <w:tab w:val="left" w:pos="806"/>
          <w:tab w:val="left" w:pos="1210"/>
          <w:tab w:val="left" w:pos="1656"/>
          <w:tab w:val="left" w:pos="2131"/>
          <w:tab w:val="left" w:pos="2520"/>
        </w:tabs>
        <w:spacing w:line="240" w:lineRule="exact"/>
        <w:rPr>
          <w:rFonts w:ascii="Arial" w:hAnsi="Arial" w:cs="Arial"/>
        </w:rPr>
      </w:pPr>
    </w:p>
    <w:p w14:paraId="62CF5673" w14:textId="7CA1A81E" w:rsidR="0000238D" w:rsidRDefault="0000238D" w:rsidP="00C01036">
      <w:pPr>
        <w:tabs>
          <w:tab w:val="left" w:pos="360"/>
          <w:tab w:val="left" w:pos="806"/>
          <w:tab w:val="left" w:pos="1210"/>
          <w:tab w:val="left" w:pos="1656"/>
          <w:tab w:val="left" w:pos="2131"/>
          <w:tab w:val="left" w:pos="2520"/>
        </w:tabs>
        <w:spacing w:line="240" w:lineRule="exact"/>
        <w:rPr>
          <w:rFonts w:ascii="Arial" w:hAnsi="Arial" w:cs="Arial"/>
          <w:strike/>
        </w:rPr>
      </w:pPr>
      <w:r>
        <w:rPr>
          <w:rFonts w:ascii="Arial" w:hAnsi="Arial" w:cs="Arial"/>
          <w:b/>
          <w:bCs/>
        </w:rPr>
        <w:tab/>
      </w:r>
      <w:r>
        <w:rPr>
          <w:rFonts w:ascii="Arial" w:hAnsi="Arial" w:cs="Arial"/>
          <w:b/>
          <w:bCs/>
        </w:rPr>
        <w:tab/>
      </w:r>
      <w:r w:rsidRPr="0000238D">
        <w:rPr>
          <w:rFonts w:ascii="Arial" w:hAnsi="Arial" w:cs="Arial"/>
          <w:strike/>
        </w:rPr>
        <w:t>245.1</w:t>
      </w:r>
      <w:r w:rsidRPr="0000238D">
        <w:rPr>
          <w:rFonts w:ascii="Arial" w:hAnsi="Arial" w:cs="Arial"/>
          <w:strike/>
        </w:rPr>
        <w:tab/>
      </w:r>
      <w:r w:rsidRPr="0000238D">
        <w:rPr>
          <w:rFonts w:ascii="Arial" w:hAnsi="Arial" w:cs="Arial"/>
          <w:strike/>
        </w:rPr>
        <w:tab/>
      </w:r>
      <w:r w:rsidRPr="0000238D">
        <w:rPr>
          <w:rFonts w:ascii="Arial" w:hAnsi="Arial" w:cs="Arial"/>
          <w:strike/>
        </w:rPr>
        <w:tab/>
      </w:r>
      <w:r w:rsidR="00D3261D">
        <w:rPr>
          <w:rFonts w:ascii="Arial" w:hAnsi="Arial" w:cs="Arial"/>
          <w:strike/>
        </w:rPr>
        <w:tab/>
      </w:r>
      <w:r w:rsidR="00352C87">
        <w:rPr>
          <w:rFonts w:ascii="Arial" w:hAnsi="Arial" w:cs="Arial"/>
          <w:strike/>
        </w:rPr>
        <w:tab/>
      </w:r>
      <w:r w:rsidR="002B4DF7">
        <w:rPr>
          <w:rFonts w:ascii="Arial" w:hAnsi="Arial" w:cs="Arial"/>
          <w:strike/>
        </w:rPr>
        <w:tab/>
      </w:r>
      <w:r w:rsidRPr="0000238D">
        <w:rPr>
          <w:rFonts w:ascii="Arial" w:hAnsi="Arial" w:cs="Arial"/>
          <w:strike/>
        </w:rPr>
        <w:t>0704-0557</w:t>
      </w:r>
    </w:p>
    <w:p w14:paraId="09C8E96C" w14:textId="5852C359" w:rsidR="0000238D" w:rsidRPr="0000238D" w:rsidRDefault="0000238D"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ab/>
      </w:r>
      <w:r>
        <w:rPr>
          <w:rFonts w:ascii="Arial" w:hAnsi="Arial" w:cs="Arial"/>
        </w:rPr>
        <w:tab/>
      </w:r>
      <w:r w:rsidRPr="0000238D">
        <w:rPr>
          <w:rFonts w:ascii="Arial" w:hAnsi="Arial" w:cs="Arial"/>
          <w:strike/>
        </w:rPr>
        <w:t>245.302(1)(i)</w:t>
      </w:r>
      <w:r w:rsidRPr="0000238D">
        <w:rPr>
          <w:rFonts w:ascii="Arial" w:hAnsi="Arial" w:cs="Arial"/>
          <w:strike/>
        </w:rPr>
        <w:tab/>
      </w:r>
      <w:r w:rsidRPr="0000238D">
        <w:rPr>
          <w:rFonts w:ascii="Arial" w:hAnsi="Arial" w:cs="Arial"/>
          <w:strike/>
        </w:rPr>
        <w:tab/>
      </w:r>
      <w:r w:rsidR="00D3261D">
        <w:rPr>
          <w:rFonts w:ascii="Arial" w:hAnsi="Arial" w:cs="Arial"/>
          <w:strike/>
        </w:rPr>
        <w:tab/>
      </w:r>
      <w:r w:rsidR="002B4DF7">
        <w:rPr>
          <w:rFonts w:ascii="Arial" w:hAnsi="Arial" w:cs="Arial"/>
          <w:strike/>
        </w:rPr>
        <w:tab/>
      </w:r>
      <w:r w:rsidRPr="0000238D">
        <w:rPr>
          <w:rFonts w:ascii="Arial" w:hAnsi="Arial" w:cs="Arial"/>
          <w:strike/>
        </w:rPr>
        <w:t>0704-0246</w:t>
      </w:r>
    </w:p>
    <w:p w14:paraId="2B25C2BC" w14:textId="476F6E62" w:rsidR="0000238D" w:rsidRPr="00523F57" w:rsidRDefault="0000238D" w:rsidP="00C01036">
      <w:pPr>
        <w:tabs>
          <w:tab w:val="left" w:pos="360"/>
          <w:tab w:val="left" w:pos="806"/>
          <w:tab w:val="left" w:pos="1210"/>
          <w:tab w:val="left" w:pos="1656"/>
          <w:tab w:val="left" w:pos="2131"/>
          <w:tab w:val="left" w:pos="2520"/>
        </w:tabs>
        <w:spacing w:line="240" w:lineRule="exact"/>
        <w:rPr>
          <w:rFonts w:ascii="Arial" w:hAnsi="Arial" w:cs="Arial"/>
          <w:strike/>
        </w:rPr>
      </w:pPr>
      <w:r>
        <w:rPr>
          <w:rFonts w:ascii="Arial" w:hAnsi="Arial" w:cs="Arial"/>
        </w:rPr>
        <w:tab/>
      </w:r>
      <w:r>
        <w:rPr>
          <w:rFonts w:ascii="Arial" w:hAnsi="Arial" w:cs="Arial"/>
        </w:rPr>
        <w:tab/>
      </w:r>
      <w:r w:rsidR="00523F57" w:rsidRPr="00523F57">
        <w:rPr>
          <w:rFonts w:ascii="Arial" w:hAnsi="Arial" w:cs="Arial"/>
          <w:strike/>
        </w:rPr>
        <w:t>245.604-3(b)</w:t>
      </w:r>
      <w:r w:rsidR="002B4DF7">
        <w:rPr>
          <w:rFonts w:ascii="Arial" w:hAnsi="Arial" w:cs="Arial"/>
          <w:strike/>
        </w:rPr>
        <w:t xml:space="preserve"> and 3(d)</w:t>
      </w:r>
      <w:r w:rsidR="00523F57" w:rsidRPr="00523F57">
        <w:rPr>
          <w:rFonts w:ascii="Arial" w:hAnsi="Arial" w:cs="Arial"/>
          <w:strike/>
        </w:rPr>
        <w:tab/>
      </w:r>
      <w:r w:rsidR="00D3261D">
        <w:rPr>
          <w:rFonts w:ascii="Arial" w:hAnsi="Arial" w:cs="Arial"/>
          <w:strike/>
        </w:rPr>
        <w:tab/>
      </w:r>
      <w:r w:rsidR="00523F57" w:rsidRPr="00523F57">
        <w:rPr>
          <w:rFonts w:ascii="Arial" w:hAnsi="Arial" w:cs="Arial"/>
          <w:strike/>
        </w:rPr>
        <w:t>0704-0246</w:t>
      </w:r>
    </w:p>
    <w:p w14:paraId="6EB1C1C9" w14:textId="77777777" w:rsidR="00C01036" w:rsidRPr="00352C87"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3E756AF9" w14:textId="346423B9" w:rsidR="00523F57" w:rsidRPr="00352C87" w:rsidRDefault="00523F57" w:rsidP="00C01036">
      <w:pPr>
        <w:tabs>
          <w:tab w:val="left" w:pos="360"/>
          <w:tab w:val="left" w:pos="806"/>
          <w:tab w:val="left" w:pos="1210"/>
          <w:tab w:val="left" w:pos="1656"/>
          <w:tab w:val="left" w:pos="2131"/>
          <w:tab w:val="left" w:pos="2520"/>
        </w:tabs>
        <w:spacing w:line="240" w:lineRule="exact"/>
        <w:rPr>
          <w:rFonts w:ascii="Arial" w:hAnsi="Arial" w:cs="Arial"/>
        </w:rPr>
      </w:pPr>
      <w:r w:rsidRPr="00352C87">
        <w:rPr>
          <w:rFonts w:ascii="Arial" w:hAnsi="Arial" w:cs="Arial"/>
        </w:rPr>
        <w:t>* * * * *</w:t>
      </w:r>
    </w:p>
    <w:p w14:paraId="00BB32AC" w14:textId="77777777" w:rsidR="00C01036" w:rsidRPr="00352C87"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4FA8527E" w14:textId="4702D580" w:rsidR="009E51D6" w:rsidRDefault="00A429FF" w:rsidP="00C01036">
      <w:pPr>
        <w:tabs>
          <w:tab w:val="left" w:pos="360"/>
          <w:tab w:val="left" w:pos="806"/>
          <w:tab w:val="left" w:pos="1210"/>
          <w:tab w:val="left" w:pos="1656"/>
          <w:tab w:val="left" w:pos="2131"/>
          <w:tab w:val="left" w:pos="2520"/>
        </w:tabs>
        <w:spacing w:line="240" w:lineRule="exact"/>
        <w:rPr>
          <w:rFonts w:ascii="Arial" w:hAnsi="Arial" w:cs="Arial"/>
          <w:strike/>
        </w:rPr>
      </w:pPr>
      <w:r>
        <w:rPr>
          <w:rFonts w:ascii="Arial" w:hAnsi="Arial" w:cs="Arial"/>
        </w:rPr>
        <w:tab/>
      </w:r>
      <w:r>
        <w:rPr>
          <w:rFonts w:ascii="Arial" w:hAnsi="Arial" w:cs="Arial"/>
        </w:rPr>
        <w:tab/>
      </w:r>
      <w:r w:rsidR="009E51D6" w:rsidRPr="0000238D">
        <w:rPr>
          <w:rFonts w:ascii="Arial" w:hAnsi="Arial" w:cs="Arial"/>
          <w:strike/>
        </w:rPr>
        <w:t>252.211-7007</w:t>
      </w:r>
      <w:r w:rsidR="009E51D6" w:rsidRPr="0000238D">
        <w:rPr>
          <w:rFonts w:ascii="Arial" w:hAnsi="Arial" w:cs="Arial"/>
          <w:strike/>
        </w:rPr>
        <w:tab/>
      </w:r>
      <w:r w:rsidR="00D3261D">
        <w:rPr>
          <w:rFonts w:ascii="Arial" w:hAnsi="Arial" w:cs="Arial"/>
          <w:strike/>
        </w:rPr>
        <w:tab/>
      </w:r>
      <w:r w:rsidR="009E51D6" w:rsidRPr="0000238D">
        <w:rPr>
          <w:rFonts w:ascii="Arial" w:hAnsi="Arial" w:cs="Arial"/>
          <w:strike/>
        </w:rPr>
        <w:tab/>
        <w:t>0704-0398</w:t>
      </w:r>
    </w:p>
    <w:p w14:paraId="43AF7E69" w14:textId="77777777" w:rsidR="00C01036" w:rsidRPr="00352C87"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1A60642B" w14:textId="3E915A13" w:rsidR="00523F57" w:rsidRPr="00352C87" w:rsidRDefault="00523F57" w:rsidP="00C01036">
      <w:pPr>
        <w:tabs>
          <w:tab w:val="left" w:pos="360"/>
          <w:tab w:val="left" w:pos="806"/>
          <w:tab w:val="left" w:pos="1210"/>
          <w:tab w:val="left" w:pos="1656"/>
          <w:tab w:val="left" w:pos="2131"/>
          <w:tab w:val="left" w:pos="2520"/>
        </w:tabs>
        <w:spacing w:line="240" w:lineRule="exact"/>
        <w:rPr>
          <w:rFonts w:ascii="Arial" w:hAnsi="Arial" w:cs="Arial"/>
        </w:rPr>
      </w:pPr>
      <w:r w:rsidRPr="00352C87">
        <w:rPr>
          <w:rFonts w:ascii="Arial" w:hAnsi="Arial" w:cs="Arial"/>
        </w:rPr>
        <w:t>* * * * *</w:t>
      </w:r>
    </w:p>
    <w:p w14:paraId="6939577A" w14:textId="77777777" w:rsidR="00C01036" w:rsidRPr="00352C87"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66B6E379" w14:textId="26FCBB24" w:rsidR="0000238D" w:rsidRDefault="00523F57" w:rsidP="00C01036">
      <w:pPr>
        <w:tabs>
          <w:tab w:val="left" w:pos="360"/>
          <w:tab w:val="left" w:pos="806"/>
          <w:tab w:val="left" w:pos="1210"/>
          <w:tab w:val="left" w:pos="1656"/>
          <w:tab w:val="left" w:pos="2131"/>
          <w:tab w:val="left" w:pos="2520"/>
        </w:tabs>
        <w:spacing w:line="240" w:lineRule="exact"/>
        <w:rPr>
          <w:rFonts w:ascii="Arial" w:hAnsi="Arial" w:cs="Arial"/>
          <w:b/>
          <w:bCs/>
        </w:rPr>
      </w:pPr>
      <w:r w:rsidRPr="00523F57">
        <w:rPr>
          <w:rFonts w:ascii="Arial" w:hAnsi="Arial" w:cs="Arial"/>
        </w:rPr>
        <w:tab/>
      </w:r>
      <w:r w:rsidRPr="00523F57">
        <w:rPr>
          <w:rFonts w:ascii="Arial" w:hAnsi="Arial" w:cs="Arial"/>
        </w:rPr>
        <w:tab/>
      </w:r>
      <w:r w:rsidRPr="00523F57">
        <w:rPr>
          <w:rFonts w:ascii="Arial" w:hAnsi="Arial" w:cs="Arial"/>
          <w:b/>
          <w:bCs/>
        </w:rPr>
        <w:t>[252.245-70</w:t>
      </w:r>
      <w:r w:rsidR="00191815">
        <w:rPr>
          <w:rFonts w:ascii="Arial" w:hAnsi="Arial" w:cs="Arial"/>
          <w:b/>
          <w:bCs/>
        </w:rPr>
        <w:t>05</w:t>
      </w:r>
      <w:r w:rsidRPr="00523F57">
        <w:rPr>
          <w:rFonts w:ascii="Arial" w:hAnsi="Arial" w:cs="Arial"/>
          <w:b/>
          <w:bCs/>
        </w:rPr>
        <w:tab/>
      </w:r>
      <w:r w:rsidRPr="00523F57">
        <w:rPr>
          <w:rFonts w:ascii="Arial" w:hAnsi="Arial" w:cs="Arial"/>
          <w:b/>
          <w:bCs/>
        </w:rPr>
        <w:tab/>
      </w:r>
      <w:r w:rsidR="00D3261D">
        <w:rPr>
          <w:rFonts w:ascii="Arial" w:hAnsi="Arial" w:cs="Arial"/>
          <w:b/>
          <w:bCs/>
        </w:rPr>
        <w:tab/>
      </w:r>
      <w:r w:rsidRPr="00523F57">
        <w:rPr>
          <w:rFonts w:ascii="Arial" w:hAnsi="Arial" w:cs="Arial"/>
          <w:b/>
          <w:bCs/>
        </w:rPr>
        <w:t>0704-0246]</w:t>
      </w:r>
    </w:p>
    <w:p w14:paraId="672402C6" w14:textId="77777777" w:rsidR="00413775" w:rsidRDefault="00413775"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40FBEADA" w14:textId="77777777" w:rsidR="00D3261D" w:rsidRDefault="00523F5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 * * *</w:t>
      </w:r>
    </w:p>
    <w:p w14:paraId="52050B69" w14:textId="77777777" w:rsidR="00D3261D" w:rsidRDefault="00D3261D"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52659E75" w14:textId="090E4B4A" w:rsidR="00D3261D" w:rsidRPr="005C5AF2" w:rsidRDefault="00D3261D" w:rsidP="00C01036">
      <w:pPr>
        <w:tabs>
          <w:tab w:val="left" w:pos="360"/>
          <w:tab w:val="left" w:pos="806"/>
          <w:tab w:val="left" w:pos="1210"/>
          <w:tab w:val="left" w:pos="1656"/>
          <w:tab w:val="left" w:pos="2131"/>
          <w:tab w:val="left" w:pos="2520"/>
        </w:tabs>
        <w:spacing w:line="240" w:lineRule="exact"/>
        <w:rPr>
          <w:rFonts w:ascii="Arial" w:hAnsi="Arial" w:cs="Arial"/>
          <w:strike/>
        </w:rPr>
      </w:pPr>
      <w:r>
        <w:rPr>
          <w:rFonts w:ascii="Arial" w:hAnsi="Arial" w:cs="Arial"/>
          <w:b/>
          <w:bCs/>
        </w:rPr>
        <w:tab/>
      </w:r>
      <w:r>
        <w:rPr>
          <w:rFonts w:ascii="Arial" w:hAnsi="Arial" w:cs="Arial"/>
          <w:b/>
          <w:bCs/>
        </w:rPr>
        <w:tab/>
      </w:r>
      <w:r w:rsidRPr="00D3261D">
        <w:rPr>
          <w:rFonts w:ascii="Arial" w:hAnsi="Arial" w:cs="Arial"/>
          <w:strike/>
        </w:rPr>
        <w:t>DD Form 1348-1A</w:t>
      </w:r>
      <w:r w:rsidRPr="00D3261D">
        <w:rPr>
          <w:rFonts w:ascii="Arial" w:hAnsi="Arial" w:cs="Arial"/>
          <w:strike/>
        </w:rPr>
        <w:tab/>
      </w:r>
      <w:r w:rsidRPr="00D3261D">
        <w:rPr>
          <w:rFonts w:ascii="Arial" w:hAnsi="Arial" w:cs="Arial"/>
          <w:strike/>
        </w:rPr>
        <w:tab/>
        <w:t>0704-0246</w:t>
      </w:r>
    </w:p>
    <w:p w14:paraId="2F23242C" w14:textId="6E874DEA" w:rsid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57C4EAE4" w14:textId="5C72360E"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 * * *</w:t>
      </w:r>
    </w:p>
    <w:p w14:paraId="249095A6" w14:textId="07662F78"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7637B195" w14:textId="755749E5"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245—Government Property</w:t>
      </w:r>
    </w:p>
    <w:p w14:paraId="30BACCCE" w14:textId="563B5C88"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3E59C31E" w14:textId="35789394"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245.1—GENERAL</w:t>
      </w:r>
    </w:p>
    <w:p w14:paraId="6DC274BF" w14:textId="7CEC1BB1"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08EF3EA7" w14:textId="2E931535"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 * * *</w:t>
      </w:r>
    </w:p>
    <w:p w14:paraId="6E4DB87A" w14:textId="77777777" w:rsidR="002B4DF7" w:rsidRDefault="002B4DF7"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1C31D3CF" w14:textId="77777777" w:rsidR="00C01036" w:rsidRDefault="00C11EE0" w:rsidP="00C01036">
      <w:pPr>
        <w:tabs>
          <w:tab w:val="left" w:pos="360"/>
          <w:tab w:val="left" w:pos="806"/>
          <w:tab w:val="left" w:pos="1210"/>
          <w:tab w:val="left" w:pos="1656"/>
          <w:tab w:val="left" w:pos="2131"/>
          <w:tab w:val="left" w:pos="2520"/>
        </w:tabs>
        <w:spacing w:line="240" w:lineRule="exact"/>
        <w:rPr>
          <w:rFonts w:ascii="Arial" w:hAnsi="Arial" w:cs="Arial"/>
          <w:b/>
          <w:bCs/>
        </w:rPr>
      </w:pPr>
      <w:r w:rsidRPr="00C11EE0">
        <w:rPr>
          <w:rFonts w:ascii="Arial" w:hAnsi="Arial" w:cs="Arial"/>
          <w:b/>
          <w:bCs/>
        </w:rPr>
        <w:t>PGI 245.103-73  Government property under sustainment contracts.</w:t>
      </w:r>
    </w:p>
    <w:p w14:paraId="510D3835"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4FEA21DD" w14:textId="03AC80DF"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r>
        <w:rPr>
          <w:rFonts w:ascii="Arial" w:hAnsi="Arial" w:cs="Arial"/>
          <w:b/>
          <w:bCs/>
        </w:rPr>
        <w:tab/>
      </w:r>
      <w:r w:rsidR="00C11EE0" w:rsidRPr="00C11EE0">
        <w:rPr>
          <w:rFonts w:ascii="Arial" w:hAnsi="Arial" w:cs="Arial"/>
          <w:color w:val="000000"/>
        </w:rPr>
        <w:t xml:space="preserve">(1) </w:t>
      </w:r>
      <w:r w:rsidR="00C11EE0">
        <w:rPr>
          <w:rFonts w:ascii="Arial" w:hAnsi="Arial" w:cs="Arial"/>
          <w:color w:val="000000"/>
        </w:rPr>
        <w:t xml:space="preserve"> </w:t>
      </w:r>
      <w:r w:rsidR="00C11EE0" w:rsidRPr="00C11EE0">
        <w:rPr>
          <w:rFonts w:ascii="Arial" w:hAnsi="Arial" w:cs="Arial"/>
          <w:color w:val="000000"/>
        </w:rPr>
        <w:t xml:space="preserve">Sustainment contracts, including those for performance-based logistics, sustainment support, contractor logistics support, life-cycle product support, and weapon systems product support (see 10 U.S.C. </w:t>
      </w:r>
      <w:r w:rsidR="002B4DF7">
        <w:rPr>
          <w:rFonts w:ascii="Arial" w:hAnsi="Arial" w:cs="Arial"/>
          <w:color w:val="000000"/>
        </w:rPr>
        <w:t>4324(d)</w:t>
      </w:r>
      <w:r w:rsidR="00C11EE0" w:rsidRPr="00C11EE0">
        <w:rPr>
          <w:rFonts w:ascii="Arial" w:hAnsi="Arial" w:cs="Arial"/>
          <w:color w:val="000000"/>
        </w:rPr>
        <w:t>), may require the contractor to hold or manage Government inventory.</w:t>
      </w:r>
      <w:r w:rsidR="002B4DF7">
        <w:rPr>
          <w:rFonts w:ascii="Arial" w:hAnsi="Arial" w:cs="Arial"/>
          <w:color w:val="000000"/>
        </w:rPr>
        <w:t xml:space="preserve"> </w:t>
      </w:r>
      <w:r w:rsidR="00C11EE0" w:rsidRPr="00C11EE0">
        <w:rPr>
          <w:rFonts w:ascii="Arial" w:hAnsi="Arial" w:cs="Arial"/>
          <w:color w:val="000000"/>
        </w:rPr>
        <w:t xml:space="preserve"> In such cases, regularly scheduled (typically, semiannually) inventory reporting from the contractor is required to ensure that inventory levels meet program requirements and Government inventory in excess of authorized amounts is identified.</w:t>
      </w:r>
      <w:r w:rsidR="002B4DF7">
        <w:rPr>
          <w:rFonts w:ascii="Arial" w:hAnsi="Arial" w:cs="Arial"/>
          <w:color w:val="000000"/>
        </w:rPr>
        <w:t xml:space="preserve"> </w:t>
      </w:r>
      <w:r w:rsidR="00C11EE0" w:rsidRPr="00C11EE0">
        <w:rPr>
          <w:rFonts w:ascii="Arial" w:hAnsi="Arial" w:cs="Arial"/>
          <w:color w:val="000000"/>
        </w:rPr>
        <w:t xml:space="preserve"> The requiring activity is responsible for providing the contracting officer with reporting requirements for Government inventory.</w:t>
      </w:r>
      <w:r w:rsidR="002B4DF7">
        <w:rPr>
          <w:rFonts w:ascii="Arial" w:hAnsi="Arial" w:cs="Arial"/>
          <w:color w:val="000000"/>
        </w:rPr>
        <w:t xml:space="preserve"> </w:t>
      </w:r>
      <w:r w:rsidR="00C11EE0" w:rsidRPr="00C11EE0">
        <w:rPr>
          <w:rFonts w:ascii="Arial" w:hAnsi="Arial" w:cs="Arial"/>
          <w:color w:val="000000"/>
        </w:rPr>
        <w:t xml:space="preserve"> See the Data Item Description DI-</w:t>
      </w:r>
      <w:r w:rsidR="00A205C6">
        <w:rPr>
          <w:rFonts w:ascii="Arial" w:hAnsi="Arial" w:cs="Arial"/>
          <w:color w:val="000000"/>
        </w:rPr>
        <w:t>PS</w:t>
      </w:r>
      <w:r w:rsidR="00C11EE0" w:rsidRPr="00C11EE0">
        <w:rPr>
          <w:rFonts w:ascii="Arial" w:hAnsi="Arial" w:cs="Arial"/>
          <w:color w:val="000000"/>
        </w:rPr>
        <w:t>SS-80727</w:t>
      </w:r>
      <w:r w:rsidR="00A205C6">
        <w:rPr>
          <w:rFonts w:ascii="Arial" w:hAnsi="Arial" w:cs="Arial"/>
          <w:color w:val="000000"/>
        </w:rPr>
        <w:t>A</w:t>
      </w:r>
      <w:r w:rsidR="00C11EE0" w:rsidRPr="00C11EE0">
        <w:rPr>
          <w:rFonts w:ascii="Arial" w:hAnsi="Arial" w:cs="Arial"/>
          <w:color w:val="000000"/>
        </w:rPr>
        <w:t xml:space="preserve">, Government Furnished Material (GFM) by National </w:t>
      </w:r>
      <w:r w:rsidR="00C11EE0" w:rsidRPr="00C11EE0">
        <w:rPr>
          <w:rFonts w:ascii="Arial" w:hAnsi="Arial" w:cs="Arial"/>
          <w:color w:val="000000"/>
        </w:rPr>
        <w:lastRenderedPageBreak/>
        <w:t xml:space="preserve">Stock Number, and the instructions for completing the DD Form 1423 Contract Data Requirements List (CDRL) for inventory reporting requirements on sustainment contracts available at </w:t>
      </w:r>
      <w:hyperlink r:id="rId9" w:history="1">
        <w:r w:rsidR="005C5AF2" w:rsidRPr="00352C87">
          <w:rPr>
            <w:rStyle w:val="Hyperlink"/>
            <w:rFonts w:ascii="Arial" w:hAnsi="Arial" w:cs="Arial"/>
            <w:i/>
            <w:iCs/>
          </w:rPr>
          <w:t>https://dodprocurementtoolbox.com/site-pages/gfp-resources</w:t>
        </w:r>
      </w:hyperlink>
      <w:r w:rsidR="00C11EE0" w:rsidRPr="00C11EE0">
        <w:rPr>
          <w:rFonts w:ascii="Arial" w:hAnsi="Arial" w:cs="Arial"/>
          <w:color w:val="000000"/>
        </w:rPr>
        <w:t>.</w:t>
      </w:r>
    </w:p>
    <w:p w14:paraId="04F9877C"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p>
    <w:p w14:paraId="2835B538"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r>
        <w:rPr>
          <w:rFonts w:ascii="Arial" w:hAnsi="Arial" w:cs="Arial"/>
          <w:color w:val="000000"/>
        </w:rPr>
        <w:tab/>
      </w:r>
      <w:r w:rsidR="00C11EE0" w:rsidRPr="00C11EE0">
        <w:rPr>
          <w:rFonts w:ascii="Arial" w:hAnsi="Arial" w:cs="Arial"/>
          <w:color w:val="000000"/>
        </w:rPr>
        <w:t xml:space="preserve">(2) </w:t>
      </w:r>
      <w:r w:rsidR="00C11EE0">
        <w:rPr>
          <w:rFonts w:ascii="Arial" w:hAnsi="Arial" w:cs="Arial"/>
          <w:color w:val="000000"/>
        </w:rPr>
        <w:t xml:space="preserve"> </w:t>
      </w:r>
      <w:r w:rsidR="00C11EE0" w:rsidRPr="00C11EE0">
        <w:rPr>
          <w:rFonts w:ascii="Arial" w:hAnsi="Arial" w:cs="Arial"/>
          <w:color w:val="000000"/>
        </w:rPr>
        <w:t>During acquisition planning, pricing contracts, exercising options, and assessing past performance, contracting officers should review the requiring activity’s assessment of the information generated by the inventory reporting requirements.</w:t>
      </w:r>
    </w:p>
    <w:p w14:paraId="5B97ED95"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p>
    <w:p w14:paraId="1336A067" w14:textId="434E8A19"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bookmarkStart w:id="0" w:name="_Hlk153539332"/>
      <w:r>
        <w:rPr>
          <w:rFonts w:ascii="Arial" w:hAnsi="Arial" w:cs="Arial"/>
          <w:color w:val="000000"/>
        </w:rPr>
        <w:tab/>
      </w:r>
      <w:r w:rsidR="00BC6176">
        <w:rPr>
          <w:rFonts w:ascii="Arial" w:hAnsi="Arial" w:cs="Arial"/>
          <w:b/>
          <w:bCs/>
          <w:color w:val="000000"/>
        </w:rPr>
        <w:t>[</w:t>
      </w:r>
      <w:r w:rsidR="00C11EE0" w:rsidRPr="00C11EE0">
        <w:rPr>
          <w:rFonts w:ascii="Arial" w:hAnsi="Arial" w:cs="Arial"/>
          <w:b/>
          <w:bCs/>
          <w:color w:val="000000"/>
        </w:rPr>
        <w:t>(3)</w:t>
      </w:r>
      <w:r w:rsidR="00C11EE0">
        <w:rPr>
          <w:rFonts w:ascii="Arial" w:hAnsi="Arial" w:cs="Arial"/>
          <w:b/>
          <w:bCs/>
          <w:color w:val="000000"/>
        </w:rPr>
        <w:t xml:space="preserve">  </w:t>
      </w:r>
      <w:r w:rsidR="00C11EE0" w:rsidRPr="00C11EE0">
        <w:rPr>
          <w:rFonts w:ascii="Arial" w:hAnsi="Arial" w:cs="Arial"/>
          <w:b/>
          <w:bCs/>
          <w:color w:val="000000"/>
        </w:rPr>
        <w:t>In some circumstances, under fixed-price sustainment contracts, contract deliverables consist of non-hardware items, such as operational readiness rate goals or mean</w:t>
      </w:r>
      <w:r w:rsidR="002837AF">
        <w:rPr>
          <w:rFonts w:ascii="Arial" w:hAnsi="Arial" w:cs="Arial"/>
          <w:b/>
          <w:bCs/>
          <w:color w:val="000000"/>
        </w:rPr>
        <w:t xml:space="preserve"> </w:t>
      </w:r>
      <w:r w:rsidR="00C11EE0" w:rsidRPr="00C11EE0">
        <w:rPr>
          <w:rFonts w:ascii="Arial" w:hAnsi="Arial" w:cs="Arial"/>
          <w:b/>
          <w:bCs/>
          <w:color w:val="000000"/>
        </w:rPr>
        <w:t>time</w:t>
      </w:r>
      <w:r w:rsidR="00055A9A">
        <w:rPr>
          <w:rFonts w:ascii="Arial" w:hAnsi="Arial" w:cs="Arial"/>
          <w:b/>
          <w:bCs/>
          <w:color w:val="000000"/>
        </w:rPr>
        <w:t xml:space="preserve"> </w:t>
      </w:r>
      <w:r w:rsidR="00C11EE0" w:rsidRPr="00C11EE0">
        <w:rPr>
          <w:rFonts w:ascii="Arial" w:hAnsi="Arial" w:cs="Arial"/>
          <w:b/>
          <w:bCs/>
          <w:color w:val="000000"/>
        </w:rPr>
        <w:t>between failures of a system.</w:t>
      </w:r>
      <w:r w:rsidR="00BC6176">
        <w:rPr>
          <w:rFonts w:ascii="Arial" w:hAnsi="Arial" w:cs="Arial"/>
          <w:b/>
          <w:bCs/>
          <w:color w:val="000000"/>
        </w:rPr>
        <w:t xml:space="preserve"> </w:t>
      </w:r>
      <w:r w:rsidR="00C11EE0" w:rsidRPr="00C11EE0">
        <w:rPr>
          <w:rFonts w:ascii="Arial" w:hAnsi="Arial" w:cs="Arial"/>
          <w:b/>
          <w:bCs/>
          <w:color w:val="000000"/>
        </w:rPr>
        <w:t xml:space="preserve"> In order to meet these deliverables, contractors are required to provide certain property items to the Government. </w:t>
      </w:r>
      <w:r w:rsidR="00BC6176">
        <w:rPr>
          <w:rFonts w:ascii="Arial" w:hAnsi="Arial" w:cs="Arial"/>
          <w:b/>
          <w:bCs/>
          <w:color w:val="000000"/>
        </w:rPr>
        <w:t xml:space="preserve"> </w:t>
      </w:r>
      <w:r w:rsidR="00C11EE0" w:rsidRPr="00C11EE0">
        <w:rPr>
          <w:rFonts w:ascii="Arial" w:hAnsi="Arial" w:cs="Arial"/>
          <w:b/>
          <w:bCs/>
          <w:color w:val="000000"/>
        </w:rPr>
        <w:t xml:space="preserve">In such cases, the contract does not include specific delivery line items requiring formal delivery of the property. </w:t>
      </w:r>
      <w:r w:rsidR="00BC6176">
        <w:rPr>
          <w:rFonts w:ascii="Arial" w:hAnsi="Arial" w:cs="Arial"/>
          <w:b/>
          <w:bCs/>
          <w:color w:val="000000"/>
        </w:rPr>
        <w:t xml:space="preserve"> </w:t>
      </w:r>
      <w:r w:rsidR="00C11EE0" w:rsidRPr="00C11EE0">
        <w:rPr>
          <w:rFonts w:ascii="Arial" w:hAnsi="Arial" w:cs="Arial"/>
          <w:b/>
          <w:bCs/>
          <w:color w:val="000000"/>
        </w:rPr>
        <w:t xml:space="preserve">By extension, the Government will not have title to the property at the time </w:t>
      </w:r>
      <w:r w:rsidR="00D8652F">
        <w:rPr>
          <w:rFonts w:ascii="Arial" w:hAnsi="Arial" w:cs="Arial"/>
          <w:b/>
          <w:bCs/>
          <w:color w:val="000000"/>
        </w:rPr>
        <w:t xml:space="preserve">the </w:t>
      </w:r>
      <w:r w:rsidR="00C11EE0" w:rsidRPr="00C11EE0">
        <w:rPr>
          <w:rFonts w:ascii="Arial" w:hAnsi="Arial" w:cs="Arial"/>
          <w:b/>
          <w:bCs/>
          <w:color w:val="000000"/>
        </w:rPr>
        <w:t xml:space="preserve">contractor provides the property. </w:t>
      </w:r>
      <w:r w:rsidR="00BC6176">
        <w:rPr>
          <w:rFonts w:ascii="Arial" w:hAnsi="Arial" w:cs="Arial"/>
          <w:b/>
          <w:bCs/>
          <w:color w:val="000000"/>
        </w:rPr>
        <w:t xml:space="preserve"> </w:t>
      </w:r>
      <w:r w:rsidR="00C11EE0" w:rsidRPr="00C11EE0">
        <w:rPr>
          <w:rFonts w:ascii="Arial" w:hAnsi="Arial" w:cs="Arial"/>
          <w:b/>
          <w:bCs/>
          <w:color w:val="000000"/>
        </w:rPr>
        <w:t>In such cases, title to the property passes to the Government upon Government acceptance (as defined in FAR 46.101) of the items at the destination stated in the contract.</w:t>
      </w:r>
      <w:r w:rsidR="00BC6176">
        <w:rPr>
          <w:rFonts w:ascii="Arial" w:hAnsi="Arial" w:cs="Arial"/>
          <w:b/>
          <w:bCs/>
          <w:color w:val="000000"/>
        </w:rPr>
        <w:t xml:space="preserve"> </w:t>
      </w:r>
      <w:r w:rsidR="00C11EE0" w:rsidRPr="00C11EE0">
        <w:rPr>
          <w:rFonts w:ascii="Arial" w:hAnsi="Arial" w:cs="Arial"/>
          <w:b/>
          <w:bCs/>
          <w:color w:val="000000"/>
        </w:rPr>
        <w:t xml:space="preserve"> Contracting officers shall ensure that the contract—</w:t>
      </w:r>
    </w:p>
    <w:p w14:paraId="6A9CA6B1"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p>
    <w:p w14:paraId="2F9794DF"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r>
        <w:rPr>
          <w:rFonts w:ascii="Arial" w:hAnsi="Arial" w:cs="Arial"/>
          <w:color w:val="000000"/>
        </w:rPr>
        <w:tab/>
      </w:r>
      <w:r>
        <w:rPr>
          <w:rFonts w:ascii="Arial" w:hAnsi="Arial" w:cs="Arial"/>
          <w:color w:val="000000"/>
        </w:rPr>
        <w:tab/>
      </w:r>
      <w:r w:rsidR="00C11EE0" w:rsidRPr="00C11EE0">
        <w:rPr>
          <w:rFonts w:ascii="Arial" w:hAnsi="Arial" w:cs="Arial"/>
          <w:b/>
          <w:bCs/>
          <w:color w:val="000000"/>
        </w:rPr>
        <w:t>(i)</w:t>
      </w:r>
      <w:r w:rsidR="00BC6176">
        <w:rPr>
          <w:rFonts w:ascii="Arial" w:hAnsi="Arial" w:cs="Arial"/>
          <w:b/>
          <w:bCs/>
          <w:color w:val="000000"/>
        </w:rPr>
        <w:t xml:space="preserve"> </w:t>
      </w:r>
      <w:r w:rsidR="00C11EE0" w:rsidRPr="00C11EE0">
        <w:rPr>
          <w:rFonts w:ascii="Arial" w:hAnsi="Arial" w:cs="Arial"/>
          <w:b/>
          <w:bCs/>
          <w:color w:val="000000"/>
        </w:rPr>
        <w:t xml:space="preserve"> Clearly defines how and when acceptance will be performed; and</w:t>
      </w:r>
    </w:p>
    <w:p w14:paraId="09E2D5D0"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p>
    <w:p w14:paraId="63AD6EFF" w14:textId="533FE4B2" w:rsidR="00C11EE0" w:rsidRP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color w:val="000000"/>
        </w:rPr>
      </w:pPr>
      <w:r>
        <w:rPr>
          <w:rFonts w:ascii="Arial" w:hAnsi="Arial" w:cs="Arial"/>
          <w:color w:val="000000"/>
        </w:rPr>
        <w:tab/>
      </w:r>
      <w:r>
        <w:rPr>
          <w:rFonts w:ascii="Arial" w:hAnsi="Arial" w:cs="Arial"/>
          <w:color w:val="000000"/>
        </w:rPr>
        <w:tab/>
      </w:r>
      <w:r w:rsidR="00C11EE0" w:rsidRPr="00C11EE0">
        <w:rPr>
          <w:rFonts w:ascii="Arial" w:hAnsi="Arial" w:cs="Arial"/>
          <w:b/>
          <w:bCs/>
          <w:color w:val="000000"/>
        </w:rPr>
        <w:t xml:space="preserve">(ii) </w:t>
      </w:r>
      <w:r>
        <w:rPr>
          <w:rFonts w:ascii="Arial" w:hAnsi="Arial" w:cs="Arial"/>
          <w:b/>
          <w:bCs/>
          <w:color w:val="000000"/>
        </w:rPr>
        <w:t xml:space="preserve"> </w:t>
      </w:r>
      <w:r w:rsidR="00C11EE0" w:rsidRPr="00C11EE0">
        <w:rPr>
          <w:rFonts w:ascii="Arial" w:hAnsi="Arial" w:cs="Arial"/>
          <w:b/>
          <w:bCs/>
          <w:color w:val="000000"/>
        </w:rPr>
        <w:t>Includes applicable requirements for quality assurance, part marking, anti-counterfeiting, or other requirement for the delivery of the property.</w:t>
      </w:r>
      <w:r w:rsidR="00BC6176">
        <w:rPr>
          <w:rFonts w:ascii="Arial" w:hAnsi="Arial" w:cs="Arial"/>
          <w:b/>
          <w:bCs/>
          <w:color w:val="000000"/>
        </w:rPr>
        <w:t>]</w:t>
      </w:r>
    </w:p>
    <w:bookmarkEnd w:id="0"/>
    <w:p w14:paraId="56DFC8A1" w14:textId="7AC40955" w:rsidR="00DA6257" w:rsidRDefault="00DA6257" w:rsidP="00C01036">
      <w:pPr>
        <w:tabs>
          <w:tab w:val="left" w:pos="360"/>
          <w:tab w:val="left" w:pos="806"/>
          <w:tab w:val="left" w:pos="1210"/>
          <w:tab w:val="left" w:pos="1656"/>
          <w:tab w:val="left" w:pos="2131"/>
          <w:tab w:val="left" w:pos="2520"/>
        </w:tabs>
        <w:spacing w:line="240" w:lineRule="exact"/>
        <w:rPr>
          <w:rFonts w:ascii="Arial" w:hAnsi="Arial" w:cs="Arial"/>
        </w:rPr>
      </w:pPr>
    </w:p>
    <w:p w14:paraId="4DA70215" w14:textId="2711B84C"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 * * * *</w:t>
      </w:r>
    </w:p>
    <w:p w14:paraId="6DD7FB4C" w14:textId="3E88E102"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242CD807" w14:textId="1315B845" w:rsidR="00A2174E" w:rsidRDefault="00A2174E"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245.2—SOLICITATION AND EVALUATION PROCEDURES</w:t>
      </w:r>
    </w:p>
    <w:p w14:paraId="434AF86C" w14:textId="1A5D2944" w:rsidR="00A2174E" w:rsidRDefault="00A2174E"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0304CE47" w14:textId="5AE207BE" w:rsidR="00A2174E" w:rsidRPr="00352C87" w:rsidRDefault="00A2174E" w:rsidP="00C01036">
      <w:pPr>
        <w:tabs>
          <w:tab w:val="left" w:pos="360"/>
          <w:tab w:val="left" w:pos="806"/>
          <w:tab w:val="left" w:pos="1210"/>
          <w:tab w:val="left" w:pos="1656"/>
          <w:tab w:val="left" w:pos="2131"/>
          <w:tab w:val="left" w:pos="2520"/>
        </w:tabs>
        <w:spacing w:line="240" w:lineRule="exact"/>
        <w:rPr>
          <w:rFonts w:ascii="Arial" w:hAnsi="Arial" w:cs="Arial"/>
          <w:b/>
          <w:bCs/>
        </w:rPr>
      </w:pPr>
      <w:r w:rsidRPr="00A2174E">
        <w:rPr>
          <w:rFonts w:ascii="Arial" w:hAnsi="Arial" w:cs="Arial"/>
          <w:b/>
          <w:bCs/>
        </w:rPr>
        <w:t>PGI 245.201  Solicitation.</w:t>
      </w:r>
    </w:p>
    <w:p w14:paraId="47AFBC03" w14:textId="77777777" w:rsidR="00A2174E" w:rsidRPr="009E51D6" w:rsidRDefault="00A2174E" w:rsidP="00C01036">
      <w:pPr>
        <w:tabs>
          <w:tab w:val="left" w:pos="360"/>
          <w:tab w:val="left" w:pos="806"/>
          <w:tab w:val="left" w:pos="1210"/>
          <w:tab w:val="left" w:pos="1656"/>
          <w:tab w:val="left" w:pos="2131"/>
          <w:tab w:val="left" w:pos="2520"/>
        </w:tabs>
        <w:spacing w:line="240" w:lineRule="exact"/>
        <w:rPr>
          <w:rFonts w:ascii="Arial" w:hAnsi="Arial" w:cs="Arial"/>
        </w:rPr>
      </w:pPr>
    </w:p>
    <w:p w14:paraId="3981F57D" w14:textId="052A0F11" w:rsidR="00DA6257" w:rsidRPr="007D56D5" w:rsidRDefault="00DA6257" w:rsidP="00C01036">
      <w:pPr>
        <w:tabs>
          <w:tab w:val="left" w:pos="360"/>
          <w:tab w:val="left" w:pos="806"/>
          <w:tab w:val="left" w:pos="1210"/>
          <w:tab w:val="left" w:pos="1656"/>
          <w:tab w:val="left" w:pos="2131"/>
          <w:tab w:val="left" w:pos="2520"/>
        </w:tabs>
        <w:spacing w:line="240" w:lineRule="exact"/>
        <w:rPr>
          <w:rFonts w:ascii="Arial" w:hAnsi="Arial" w:cs="Arial"/>
          <w:b/>
          <w:bCs/>
          <w:strike/>
        </w:rPr>
      </w:pPr>
      <w:r w:rsidRPr="007D56D5">
        <w:rPr>
          <w:rFonts w:ascii="Arial" w:hAnsi="Arial" w:cs="Arial"/>
          <w:b/>
          <w:bCs/>
          <w:strike/>
        </w:rPr>
        <w:t>PGI 245.201-70  Definitions.</w:t>
      </w:r>
    </w:p>
    <w:p w14:paraId="3990A2FE" w14:textId="77777777" w:rsidR="009E51D6" w:rsidRPr="007D56D5" w:rsidRDefault="009E51D6" w:rsidP="00C01036">
      <w:pPr>
        <w:tabs>
          <w:tab w:val="left" w:pos="360"/>
          <w:tab w:val="left" w:pos="806"/>
          <w:tab w:val="left" w:pos="1210"/>
          <w:tab w:val="left" w:pos="1656"/>
          <w:tab w:val="left" w:pos="2131"/>
          <w:tab w:val="left" w:pos="2520"/>
        </w:tabs>
        <w:spacing w:line="240" w:lineRule="exact"/>
        <w:rPr>
          <w:rFonts w:ascii="Arial" w:hAnsi="Arial" w:cs="Arial"/>
          <w:b/>
          <w:bCs/>
          <w:strike/>
        </w:rPr>
      </w:pPr>
    </w:p>
    <w:p w14:paraId="6D13478D" w14:textId="22278113"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As used in this section—</w:t>
      </w:r>
    </w:p>
    <w:p w14:paraId="5C5C2CEE"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3AABC1A5"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 xml:space="preserve">(1)  “As is” means that the Government may, at its option, furnish Government property in an “as-is” condition.  In such cases, the Government makes no warranty with respect to the serviceability and/or suitability of the Government property for contract performance.  Any repairs, replacement, and/or refurbishment shall be at the contractor's expense. </w:t>
      </w:r>
    </w:p>
    <w:p w14:paraId="6837431F"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27CFA1B8" w14:textId="19048BA5"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(2)  “Commercial and Government entity (CAGE) code” means:  (i) A code assigned by the Defense Logistics Information Service (DLIS) to identify a commercial or Government entity; or (ii) A code assigned by a member of the North Atlantic Treaty Organization that DLIS records and maintains in the CAGE master file.  This type of code is known as an “NCAGE code”.  As defined in the DoD 4100.39-M, Federal Logistics Information System Glossary, the CAGE Code is a five-character data element assigned to establishments that are manufacturers or have design control of items of supply procured by the Federal Government.  In the United States, the first and last positions of a CAGE code will be numeric.</w:t>
      </w:r>
    </w:p>
    <w:p w14:paraId="2308B886"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1252770B" w14:textId="1E05FCC5"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(3)  “Contractor-acquired property.”  See FAR 45.101.</w:t>
      </w:r>
    </w:p>
    <w:p w14:paraId="21111602"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5ACC2A2F" w14:textId="7BE99692"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(4)  “Description” means a collection and compilation of data to describe an item.  The descriptive noun of the item nomenclature, as defined in DoD 4100.39-M, Glossary.</w:t>
      </w:r>
    </w:p>
    <w:p w14:paraId="4169B6F4"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02FEAA6E" w14:textId="294479C0"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(5)  “Government property.”  See FAR 45.101.</w:t>
      </w:r>
    </w:p>
    <w:p w14:paraId="7B77FAC2"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412BCC9E" w14:textId="252588BF"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(6)  “Government-furnished property.”  See FAR 45.101.</w:t>
      </w:r>
    </w:p>
    <w:p w14:paraId="15816E12"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3F0B8FAE" w14:textId="3B82C76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(7)  “Major end item” means a final combination of end products that is ready for its intended use; e.g., launchers, tanks, mobile machine shops, aircraft, and vehicles.</w:t>
      </w:r>
    </w:p>
    <w:p w14:paraId="7A51B585"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3F19CB2C" w14:textId="4D920643"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(8)  “National stock number (NSN)” means a 13-digit stock number used to identify items of supply.  It consists of a four-digit Federal Supply Classification code and a nine- digit national item identification number (NIIN), as defined in DoD Manual 4140.01, Volume 9, DoD Supply Chain Materiel Management Procedures:  Material Programs.</w:t>
      </w:r>
    </w:p>
    <w:p w14:paraId="5F91FB47"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08C03FA2" w14:textId="7EE50223"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(9)  “NIIN” means the last nine digits of the NSN that differentiates each individual supply item from all other supply items.  The first two digits signify the National Codification Bureau that assigned the NIIN, wherein the last seven digits are non</w:t>
      </w:r>
      <w:r w:rsidR="00A2174E">
        <w:rPr>
          <w:rFonts w:ascii="Arial" w:hAnsi="Arial" w:cs="Arial"/>
          <w:bCs/>
          <w:strike/>
        </w:rPr>
        <w:t>-</w:t>
      </w:r>
      <w:r w:rsidRPr="007D56D5">
        <w:rPr>
          <w:rFonts w:ascii="Arial" w:hAnsi="Arial" w:cs="Arial"/>
          <w:bCs/>
          <w:strike/>
        </w:rPr>
        <w:t>significant and are sequentially assigned by the Federal Logistics Information System.  All United States-manufactured items have a National Codification Bureau code of "00" (cataloged before 1975) or "01" (cataloged in 1975, or later).</w:t>
      </w:r>
    </w:p>
    <w:p w14:paraId="43692D91"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3F58F3EB" w14:textId="2020CB3E"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(10)  “Nomenclature” means:  (i) The combination of a Government-assigned type designation and an approved item name; (ii) Names assigned to kinds and groups of products; or (iii) Formal designations assigned to products by customer or supplier (such as model number, or model type, design differentiation, specific design series, or configuration).</w:t>
      </w:r>
    </w:p>
    <w:p w14:paraId="53AADD26"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6DFF2B24" w14:textId="3871935F"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(11)  “Part or identifying number (PIN)” means the identifier assigned by the original design activity, or by the controlling nationally recognized standard, that uniquely identifies (relative to that design activity) a specific item, as defined by Military Standard 130, Standard Practice for Identification Marking of U. S. Military Property, latest version.</w:t>
      </w:r>
    </w:p>
    <w:p w14:paraId="7F1BA413"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rPr>
      </w:pPr>
    </w:p>
    <w:p w14:paraId="5A68FB36" w14:textId="593CA298"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 xml:space="preserve">(12)  “Quantity” means a numeric value for such characteristics as dimensions, measure, magnitude, electrical rating, etc.  Also, the numerical designator for a unit of issue described in table 53, unit of issue codes, DoD 4100.39-M, Federal Logistics Information  System (FLIS) Procedures, volume 10.  See </w:t>
      </w:r>
      <w:hyperlink r:id="rId10" w:history="1">
        <w:r w:rsidRPr="007D56D5">
          <w:rPr>
            <w:rStyle w:val="Hyperlink"/>
            <w:rFonts w:ascii="Arial" w:hAnsi="Arial" w:cs="Arial"/>
            <w:bCs/>
            <w:strike/>
          </w:rPr>
          <w:t>http://www.dla.mil/HQ/InformationOperations/Offers/Services/TrainingandReference/FLISPr ocedures.aspx</w:t>
        </w:r>
      </w:hyperlink>
      <w:r w:rsidRPr="007D56D5">
        <w:rPr>
          <w:rFonts w:ascii="Arial" w:hAnsi="Arial" w:cs="Arial"/>
          <w:bCs/>
          <w:strike/>
        </w:rPr>
        <w:t>.</w:t>
      </w:r>
    </w:p>
    <w:p w14:paraId="3535E20E"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54ACF207" w14:textId="2A94CC41"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(13)  “Reparable.”  See DFARS clause 252.211-7007.</w:t>
      </w:r>
    </w:p>
    <w:p w14:paraId="38EB03D3"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01C5729B" w14:textId="171F965C"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(14)  “Requiring activity” means the DoD organization, or part of an organization, that identifies and defines a requirement for supplies or services, and requests the initiation of, and provides funding for, an acquisition to fulfill the requirement.</w:t>
      </w:r>
    </w:p>
    <w:p w14:paraId="04150602"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0FF13BBF" w14:textId="1D3DD526"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(15)  “Serial number” means an assigned designation that provides a means of identifying a specific individual item, as defined by Military Standard 130, Standard Practice for Identification Marking of U. S. Military Property, latest version.</w:t>
      </w:r>
    </w:p>
    <w:p w14:paraId="40DC8438"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2F254297" w14:textId="502ABE73"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(16)  “Type Designation” means a combination of letters and numbers arranged in a specific sequence to provide a short, significant method of identification for an item.  The various type designators are as follows:</w:t>
      </w:r>
    </w:p>
    <w:p w14:paraId="7A9E1652"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0A400F4C" w14:textId="2626F948"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lastRenderedPageBreak/>
        <w:tab/>
      </w:r>
      <w:r w:rsidRPr="007D56D5">
        <w:rPr>
          <w:rFonts w:ascii="Arial" w:hAnsi="Arial" w:cs="Arial"/>
          <w:bCs/>
          <w:strike/>
        </w:rPr>
        <w:tab/>
        <w:t xml:space="preserve">(i)  . Electronics:  MIL-STD-196, Joint Electronics Type Designation System, February </w:t>
      </w:r>
      <w:r w:rsidR="00161A06" w:rsidRPr="007D56D5">
        <w:rPr>
          <w:rFonts w:ascii="Arial" w:hAnsi="Arial" w:cs="Arial"/>
          <w:bCs/>
          <w:strike/>
        </w:rPr>
        <w:t>17, 1998.</w:t>
      </w:r>
    </w:p>
    <w:p w14:paraId="132FA704" w14:textId="77777777" w:rsidR="00161A06" w:rsidRPr="007D56D5" w:rsidRDefault="00161A0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11D7FA4B" w14:textId="52CA1F68"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r>
      <w:r w:rsidRPr="007D56D5">
        <w:rPr>
          <w:rFonts w:ascii="Arial" w:hAnsi="Arial" w:cs="Arial"/>
          <w:bCs/>
          <w:strike/>
        </w:rPr>
        <w:tab/>
        <w:t>(ii)  Aerospace Vehicles:  DoD 4120.15-L, Model Designation of Military Aerospace Vehicles, May 12, 2004.</w:t>
      </w:r>
    </w:p>
    <w:p w14:paraId="7C4CA8A0"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rPr>
      </w:pPr>
    </w:p>
    <w:p w14:paraId="1153AA73" w14:textId="3395F5B2" w:rsidR="0054662E"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r>
      <w:r w:rsidRPr="007D56D5">
        <w:rPr>
          <w:rFonts w:ascii="Arial" w:hAnsi="Arial" w:cs="Arial"/>
          <w:bCs/>
          <w:strike/>
        </w:rPr>
        <w:tab/>
        <w:t>(iii)  Aerospace Engines and Equipment:  MIL-HDBK-1812, Type Designation, Assignment and Method of Obtaining, February 14, 1997.</w:t>
      </w:r>
    </w:p>
    <w:p w14:paraId="5E2851BC" w14:textId="77777777"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68D4A401" w14:textId="41B901EC"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Cs/>
          <w:strike/>
        </w:rPr>
      </w:pPr>
      <w:r>
        <w:rPr>
          <w:rFonts w:ascii="Arial" w:hAnsi="Arial" w:cs="Arial"/>
          <w:bCs/>
          <w:strike/>
        </w:rPr>
        <w:tab/>
      </w:r>
      <w:r>
        <w:rPr>
          <w:rFonts w:ascii="Arial" w:hAnsi="Arial" w:cs="Arial"/>
          <w:bCs/>
          <w:strike/>
        </w:rPr>
        <w:tab/>
      </w:r>
      <w:r w:rsidR="004A2BB6" w:rsidRPr="007D56D5">
        <w:rPr>
          <w:rFonts w:ascii="Arial" w:hAnsi="Arial" w:cs="Arial"/>
          <w:bCs/>
          <w:strike/>
        </w:rPr>
        <w:t>(iv)  Ships:  SECNAVINST 5030.8, Classification of Naval Ships and Craft, November 21, 2006.</w:t>
      </w:r>
    </w:p>
    <w:p w14:paraId="4674E736" w14:textId="77777777"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7D747B54" w14:textId="36E9A8AB" w:rsidR="004A2BB6" w:rsidRPr="007D56D5" w:rsidRDefault="0054662E" w:rsidP="00C01036">
      <w:pPr>
        <w:tabs>
          <w:tab w:val="left" w:pos="360"/>
          <w:tab w:val="left" w:pos="806"/>
          <w:tab w:val="left" w:pos="1210"/>
          <w:tab w:val="left" w:pos="1656"/>
          <w:tab w:val="left" w:pos="2131"/>
          <w:tab w:val="left" w:pos="2520"/>
        </w:tabs>
        <w:spacing w:line="240" w:lineRule="exact"/>
        <w:rPr>
          <w:rFonts w:ascii="Arial" w:hAnsi="Arial" w:cs="Arial"/>
          <w:bCs/>
          <w:strike/>
        </w:rPr>
      </w:pPr>
      <w:r>
        <w:rPr>
          <w:rFonts w:ascii="Arial" w:hAnsi="Arial" w:cs="Arial"/>
          <w:bCs/>
          <w:strike/>
        </w:rPr>
        <w:tab/>
      </w:r>
      <w:r>
        <w:rPr>
          <w:rFonts w:ascii="Arial" w:hAnsi="Arial" w:cs="Arial"/>
          <w:bCs/>
          <w:strike/>
        </w:rPr>
        <w:tab/>
      </w:r>
      <w:r w:rsidR="004A2BB6" w:rsidRPr="007D56D5">
        <w:rPr>
          <w:rFonts w:ascii="Arial" w:hAnsi="Arial" w:cs="Arial"/>
          <w:bCs/>
          <w:strike/>
        </w:rPr>
        <w:t>(v)  Army Watercraft:  AR 56-9, Watercraft, February 7, 2002</w:t>
      </w:r>
    </w:p>
    <w:p w14:paraId="05AD8224"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48FD1095" w14:textId="67236DD9"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r>
      <w:r w:rsidRPr="007D56D5">
        <w:rPr>
          <w:rFonts w:ascii="Arial" w:hAnsi="Arial" w:cs="Arial"/>
          <w:bCs/>
          <w:strike/>
        </w:rPr>
        <w:tab/>
        <w:t>(vi)  Army Nomenclature:  MIL-STD-1464A (AR), Army Nomenclature System, May 15, 1987.</w:t>
      </w:r>
    </w:p>
    <w:p w14:paraId="460BA387"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14D5758F" w14:textId="1B87323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r>
      <w:r w:rsidRPr="007D56D5">
        <w:rPr>
          <w:rFonts w:ascii="Arial" w:hAnsi="Arial" w:cs="Arial"/>
          <w:bCs/>
          <w:strike/>
        </w:rPr>
        <w:tab/>
        <w:t>(vii)  Navy Nomenclature:  MIL-STD-1661(OS), Mark and Mod Nomenclature System, August 1, 1978.</w:t>
      </w:r>
    </w:p>
    <w:p w14:paraId="459F5E8E"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2D3D5A77" w14:textId="15689634"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(17)  “Unique item identifier (UII).”  See DFARS clause 252.211-7003.</w:t>
      </w:r>
    </w:p>
    <w:p w14:paraId="7800D5E6" w14:textId="77777777"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p>
    <w:p w14:paraId="74433821" w14:textId="0772F0A2" w:rsidR="004A2BB6" w:rsidRPr="007D56D5" w:rsidRDefault="004A2BB6" w:rsidP="00C01036">
      <w:pPr>
        <w:tabs>
          <w:tab w:val="left" w:pos="360"/>
          <w:tab w:val="left" w:pos="806"/>
          <w:tab w:val="left" w:pos="1210"/>
          <w:tab w:val="left" w:pos="1656"/>
          <w:tab w:val="left" w:pos="2131"/>
          <w:tab w:val="left" w:pos="2520"/>
        </w:tabs>
        <w:spacing w:line="240" w:lineRule="exact"/>
        <w:rPr>
          <w:rFonts w:ascii="Arial" w:hAnsi="Arial" w:cs="Arial"/>
          <w:bCs/>
          <w:strike/>
        </w:rPr>
      </w:pPr>
      <w:r w:rsidRPr="007D56D5">
        <w:rPr>
          <w:rFonts w:ascii="Arial" w:hAnsi="Arial" w:cs="Arial"/>
          <w:bCs/>
          <w:strike/>
        </w:rPr>
        <w:tab/>
        <w:t>(18)  “Unit of measure” means a measurement term, as listed in Table 81, Unit of Measure Designations, Volume 10, DoD 4100.39-M, Federal Logistics Information System, used in conjunction with a unit of issue of related national stock numbers.</w:t>
      </w:r>
    </w:p>
    <w:p w14:paraId="369E1713" w14:textId="77777777" w:rsidR="00F83792" w:rsidRDefault="00F83792" w:rsidP="00C01036">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bCs/>
          <w:strike/>
        </w:rPr>
      </w:pPr>
    </w:p>
    <w:p w14:paraId="1A7FFE03" w14:textId="5F22521F" w:rsidR="00F83792" w:rsidRDefault="00F83792" w:rsidP="00C01036">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bCs/>
        </w:rPr>
      </w:pPr>
      <w:r w:rsidRPr="007D56D5">
        <w:rPr>
          <w:rFonts w:ascii="Arial" w:hAnsi="Arial" w:cs="Arial"/>
          <w:b/>
          <w:bCs/>
        </w:rPr>
        <w:t>PGI 245.201-</w:t>
      </w:r>
      <w:r w:rsidRPr="00F83792">
        <w:rPr>
          <w:rFonts w:ascii="Arial" w:hAnsi="Arial" w:cs="Arial"/>
          <w:b/>
          <w:bCs/>
          <w:strike/>
        </w:rPr>
        <w:t>71</w:t>
      </w:r>
      <w:r>
        <w:rPr>
          <w:rFonts w:ascii="Arial" w:hAnsi="Arial" w:cs="Arial"/>
          <w:b/>
          <w:bCs/>
        </w:rPr>
        <w:t>[70]</w:t>
      </w:r>
      <w:r w:rsidRPr="007D56D5">
        <w:rPr>
          <w:rFonts w:ascii="Arial" w:hAnsi="Arial" w:cs="Arial"/>
          <w:b/>
          <w:bCs/>
        </w:rPr>
        <w:t xml:space="preserve">  Security classification.</w:t>
      </w:r>
    </w:p>
    <w:p w14:paraId="052AB1CC" w14:textId="791565D4" w:rsidR="00F83792" w:rsidRPr="007D56D5" w:rsidRDefault="00F83792" w:rsidP="00C01036">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Cs/>
        </w:rPr>
      </w:pPr>
      <w:r w:rsidRPr="007D56D5">
        <w:rPr>
          <w:rFonts w:ascii="Arial" w:hAnsi="Arial" w:cs="Arial"/>
          <w:bCs/>
        </w:rPr>
        <w:t>Classified contracts are not exempt from including GFP attachments solely because the contracts are classified.</w:t>
      </w:r>
    </w:p>
    <w:p w14:paraId="32641690" w14:textId="44C26D5A" w:rsidR="00A429FF" w:rsidRPr="00F83792" w:rsidRDefault="00A429FF" w:rsidP="00C01036">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b/>
          <w:bCs/>
          <w:color w:val="000000"/>
        </w:rPr>
      </w:pPr>
    </w:p>
    <w:p w14:paraId="71E9E3C5" w14:textId="7377E8DA" w:rsidR="00A429FF" w:rsidRPr="00F83792" w:rsidRDefault="00A429FF" w:rsidP="00C01036">
      <w:pPr>
        <w:pStyle w:val="p"/>
        <w:tabs>
          <w:tab w:val="left" w:pos="360"/>
          <w:tab w:val="left" w:pos="806"/>
          <w:tab w:val="left" w:pos="1210"/>
          <w:tab w:val="left" w:pos="1656"/>
          <w:tab w:val="left" w:pos="2131"/>
          <w:tab w:val="left" w:pos="2520"/>
        </w:tabs>
        <w:spacing w:before="0" w:beforeAutospacing="0" w:after="0" w:afterAutospacing="0" w:line="240" w:lineRule="exact"/>
        <w:textAlignment w:val="baseline"/>
        <w:rPr>
          <w:rFonts w:ascii="Arial" w:hAnsi="Arial" w:cs="Arial"/>
          <w:color w:val="000000"/>
        </w:rPr>
      </w:pPr>
      <w:r w:rsidRPr="00F83792">
        <w:rPr>
          <w:rFonts w:ascii="Arial" w:hAnsi="Arial" w:cs="Arial"/>
          <w:color w:val="000000"/>
        </w:rPr>
        <w:t>* * * * *</w:t>
      </w:r>
    </w:p>
    <w:p w14:paraId="7C422F4B" w14:textId="77777777" w:rsidR="00DA6257" w:rsidRPr="009E51D6" w:rsidRDefault="00DA6257" w:rsidP="00C01036">
      <w:pPr>
        <w:tabs>
          <w:tab w:val="left" w:pos="360"/>
          <w:tab w:val="left" w:pos="806"/>
          <w:tab w:val="left" w:pos="1210"/>
          <w:tab w:val="left" w:pos="1656"/>
          <w:tab w:val="left" w:pos="2131"/>
          <w:tab w:val="left" w:pos="2520"/>
        </w:tabs>
        <w:spacing w:line="240" w:lineRule="exact"/>
        <w:rPr>
          <w:rFonts w:ascii="Arial" w:hAnsi="Arial" w:cs="Arial"/>
        </w:rPr>
      </w:pPr>
    </w:p>
    <w:p w14:paraId="687ED48D" w14:textId="064E8DAC"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245.</w:t>
      </w:r>
      <w:r w:rsidR="00197760">
        <w:rPr>
          <w:rFonts w:ascii="Arial" w:hAnsi="Arial" w:cs="Arial"/>
          <w:b/>
          <w:bCs/>
        </w:rPr>
        <w:t>4</w:t>
      </w:r>
      <w:r>
        <w:rPr>
          <w:rFonts w:ascii="Arial" w:hAnsi="Arial" w:cs="Arial"/>
          <w:b/>
          <w:bCs/>
        </w:rPr>
        <w:t>—TITLE TO GOVERNMENT PROPERTY</w:t>
      </w:r>
    </w:p>
    <w:p w14:paraId="1380A63C" w14:textId="01A8113E"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27AA393D" w14:textId="1AA67154"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 * * *</w:t>
      </w:r>
    </w:p>
    <w:p w14:paraId="7E56702A" w14:textId="77777777" w:rsidR="0054662E" w:rsidRDefault="0054662E"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1266E318" w14:textId="281A4974" w:rsid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b/>
          <w:bCs/>
        </w:rPr>
      </w:pPr>
      <w:r w:rsidRPr="00A77306">
        <w:rPr>
          <w:rFonts w:ascii="Arial" w:hAnsi="Arial" w:cs="Arial"/>
          <w:b/>
          <w:bCs/>
        </w:rPr>
        <w:t>PGI 245.402-71</w:t>
      </w:r>
      <w:r w:rsidR="00C01036">
        <w:rPr>
          <w:rFonts w:ascii="Arial" w:hAnsi="Arial" w:cs="Arial"/>
          <w:b/>
          <w:bCs/>
        </w:rPr>
        <w:t xml:space="preserve">  </w:t>
      </w:r>
      <w:r w:rsidRPr="00A77306">
        <w:rPr>
          <w:rFonts w:ascii="Arial" w:hAnsi="Arial" w:cs="Arial"/>
          <w:b/>
          <w:bCs/>
        </w:rPr>
        <w:t>Delivery of contractor-acquired property.</w:t>
      </w:r>
    </w:p>
    <w:p w14:paraId="0754BAE5" w14:textId="77777777" w:rsidR="00A429FF" w:rsidRPr="00A77306" w:rsidRDefault="00A429FF" w:rsidP="00C01036">
      <w:pPr>
        <w:tabs>
          <w:tab w:val="left" w:pos="360"/>
          <w:tab w:val="left" w:pos="806"/>
          <w:tab w:val="left" w:pos="1210"/>
          <w:tab w:val="left" w:pos="1656"/>
          <w:tab w:val="left" w:pos="2131"/>
          <w:tab w:val="left" w:pos="2520"/>
        </w:tabs>
        <w:spacing w:line="240" w:lineRule="exact"/>
        <w:rPr>
          <w:rFonts w:ascii="Arial" w:hAnsi="Arial" w:cs="Arial"/>
          <w:b/>
          <w:bCs/>
        </w:rPr>
      </w:pPr>
    </w:p>
    <w:p w14:paraId="3C28119A" w14:textId="5892970A" w:rsidR="00DA6257"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t>* * * * *</w:t>
      </w:r>
    </w:p>
    <w:p w14:paraId="0AB94F26" w14:textId="77777777" w:rsidR="00A429FF" w:rsidRPr="009E51D6" w:rsidRDefault="00A429FF" w:rsidP="00C01036">
      <w:pPr>
        <w:tabs>
          <w:tab w:val="left" w:pos="360"/>
          <w:tab w:val="left" w:pos="806"/>
          <w:tab w:val="left" w:pos="1210"/>
          <w:tab w:val="left" w:pos="1656"/>
          <w:tab w:val="left" w:pos="2131"/>
          <w:tab w:val="left" w:pos="2520"/>
        </w:tabs>
        <w:spacing w:line="240" w:lineRule="exact"/>
        <w:rPr>
          <w:rFonts w:ascii="Arial" w:hAnsi="Arial" w:cs="Arial"/>
        </w:rPr>
      </w:pPr>
    </w:p>
    <w:p w14:paraId="7152427F" w14:textId="7B73C275" w:rsidR="00A77306" w:rsidRPr="009E51D6" w:rsidRDefault="00A77306" w:rsidP="00C01036">
      <w:pPr>
        <w:tabs>
          <w:tab w:val="left" w:pos="360"/>
          <w:tab w:val="left" w:pos="806"/>
          <w:tab w:val="left" w:pos="1210"/>
          <w:tab w:val="left" w:pos="1656"/>
          <w:tab w:val="left" w:pos="2131"/>
          <w:tab w:val="left" w:pos="2520"/>
        </w:tabs>
        <w:spacing w:line="240" w:lineRule="exact"/>
        <w:rPr>
          <w:rFonts w:ascii="Arial" w:hAnsi="Arial" w:cs="Arial"/>
          <w:i/>
          <w:iCs/>
        </w:rPr>
      </w:pPr>
      <w:r w:rsidRPr="009E51D6">
        <w:rPr>
          <w:rFonts w:ascii="Arial" w:hAnsi="Arial" w:cs="Arial"/>
        </w:rPr>
        <w:tab/>
      </w:r>
      <w:r w:rsidRPr="00A77306">
        <w:rPr>
          <w:rFonts w:ascii="Arial" w:hAnsi="Arial" w:cs="Arial"/>
        </w:rPr>
        <w:t>(3)</w:t>
      </w:r>
      <w:r w:rsidR="00C01036">
        <w:rPr>
          <w:rFonts w:ascii="Arial" w:hAnsi="Arial" w:cs="Arial"/>
        </w:rPr>
        <w:t xml:space="preserve">  </w:t>
      </w:r>
      <w:r w:rsidRPr="00A77306">
        <w:rPr>
          <w:rFonts w:ascii="Arial" w:hAnsi="Arial" w:cs="Arial"/>
          <w:i/>
          <w:iCs/>
        </w:rPr>
        <w:t>Contractor-acquired property not anticipated at time of contract award.</w:t>
      </w:r>
    </w:p>
    <w:p w14:paraId="5ADFCA6A" w14:textId="77777777" w:rsidR="00A77306" w:rsidRP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p>
    <w:p w14:paraId="7BCDE8A3" w14:textId="1F44CED0" w:rsidR="00A77306" w:rsidRPr="009E51D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tab/>
      </w:r>
      <w:r w:rsidRPr="009E51D6">
        <w:rPr>
          <w:rFonts w:ascii="Arial" w:hAnsi="Arial" w:cs="Arial"/>
        </w:rPr>
        <w:tab/>
      </w:r>
      <w:r w:rsidRPr="00A77306">
        <w:rPr>
          <w:rFonts w:ascii="Arial" w:hAnsi="Arial" w:cs="Arial"/>
        </w:rPr>
        <w:t xml:space="preserve">(i) </w:t>
      </w:r>
      <w:r w:rsidR="00C01036">
        <w:rPr>
          <w:rFonts w:ascii="Arial" w:hAnsi="Arial" w:cs="Arial"/>
        </w:rPr>
        <w:t xml:space="preserve"> </w:t>
      </w:r>
      <w:r w:rsidRPr="00A77306">
        <w:rPr>
          <w:rFonts w:ascii="Arial" w:hAnsi="Arial" w:cs="Arial"/>
        </w:rPr>
        <w:t xml:space="preserve">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w:t>
      </w:r>
      <w:r w:rsidR="00C01036">
        <w:rPr>
          <w:rFonts w:ascii="Arial" w:hAnsi="Arial" w:cs="Arial"/>
        </w:rPr>
        <w:t xml:space="preserve"> </w:t>
      </w:r>
      <w:r w:rsidRPr="00A77306">
        <w:rPr>
          <w:rFonts w:ascii="Arial" w:hAnsi="Arial" w:cs="Arial"/>
        </w:rPr>
        <w:t>Such items are typically identified through—</w:t>
      </w:r>
    </w:p>
    <w:p w14:paraId="6F3B7643" w14:textId="77777777" w:rsidR="00A77306" w:rsidRP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p>
    <w:p w14:paraId="2562A1A3" w14:textId="4F4B9E26" w:rsidR="00A77306" w:rsidRPr="009E51D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tab/>
      </w:r>
      <w:r w:rsidRPr="009E51D6">
        <w:rPr>
          <w:rFonts w:ascii="Arial" w:hAnsi="Arial" w:cs="Arial"/>
        </w:rPr>
        <w:tab/>
      </w:r>
      <w:r w:rsidRPr="009E51D6">
        <w:rPr>
          <w:rFonts w:ascii="Arial" w:hAnsi="Arial" w:cs="Arial"/>
        </w:rPr>
        <w:tab/>
      </w:r>
      <w:r w:rsidRPr="00A77306">
        <w:rPr>
          <w:rFonts w:ascii="Arial" w:hAnsi="Arial" w:cs="Arial"/>
        </w:rPr>
        <w:t xml:space="preserve">(A) </w:t>
      </w:r>
      <w:r w:rsidR="00C01036">
        <w:rPr>
          <w:rFonts w:ascii="Arial" w:hAnsi="Arial" w:cs="Arial"/>
        </w:rPr>
        <w:t xml:space="preserve"> </w:t>
      </w:r>
      <w:r w:rsidRPr="00A77306">
        <w:rPr>
          <w:rFonts w:ascii="Arial" w:hAnsi="Arial" w:cs="Arial"/>
        </w:rPr>
        <w:t>Plant clearance in accordance with the clause at DFARS</w:t>
      </w:r>
      <w:r w:rsidR="00523F57">
        <w:rPr>
          <w:rFonts w:ascii="Arial" w:hAnsi="Arial" w:cs="Arial"/>
        </w:rPr>
        <w:t xml:space="preserve"> </w:t>
      </w:r>
      <w:r w:rsidRPr="00A77306">
        <w:rPr>
          <w:rFonts w:ascii="Arial" w:hAnsi="Arial" w:cs="Arial"/>
          <w:strike/>
        </w:rPr>
        <w:t>252.245-7004, Reporting, reutilization, and Disposal</w:t>
      </w:r>
      <w:r w:rsidRPr="009E51D6">
        <w:rPr>
          <w:rFonts w:ascii="Arial" w:hAnsi="Arial" w:cs="Arial"/>
          <w:b/>
          <w:bCs/>
        </w:rPr>
        <w:t>[</w:t>
      </w:r>
      <w:bookmarkStart w:id="1" w:name="_Hlk153539692"/>
      <w:r w:rsidRPr="009E51D6">
        <w:rPr>
          <w:rFonts w:ascii="Arial" w:hAnsi="Arial" w:cs="Arial"/>
          <w:b/>
          <w:bCs/>
        </w:rPr>
        <w:t>252.245-70</w:t>
      </w:r>
      <w:r w:rsidR="00191815">
        <w:rPr>
          <w:rFonts w:ascii="Arial" w:hAnsi="Arial" w:cs="Arial"/>
          <w:b/>
          <w:bCs/>
        </w:rPr>
        <w:t>05</w:t>
      </w:r>
      <w:r w:rsidRPr="009E51D6">
        <w:rPr>
          <w:rFonts w:ascii="Arial" w:hAnsi="Arial" w:cs="Arial"/>
          <w:b/>
          <w:bCs/>
        </w:rPr>
        <w:t>, Management and Reporting of Government Property]</w:t>
      </w:r>
      <w:r w:rsidRPr="00A77306">
        <w:rPr>
          <w:rFonts w:ascii="Arial" w:hAnsi="Arial" w:cs="Arial"/>
        </w:rPr>
        <w:t>;</w:t>
      </w:r>
    </w:p>
    <w:bookmarkEnd w:id="1"/>
    <w:p w14:paraId="22264120" w14:textId="77777777" w:rsidR="00A77306" w:rsidRP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p>
    <w:p w14:paraId="53DFBDC2" w14:textId="7FE8EFA5" w:rsidR="00A77306" w:rsidRPr="009E51D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tab/>
      </w:r>
      <w:r w:rsidRPr="009E51D6">
        <w:rPr>
          <w:rFonts w:ascii="Arial" w:hAnsi="Arial" w:cs="Arial"/>
        </w:rPr>
        <w:tab/>
      </w:r>
      <w:r w:rsidRPr="009E51D6">
        <w:rPr>
          <w:rFonts w:ascii="Arial" w:hAnsi="Arial" w:cs="Arial"/>
        </w:rPr>
        <w:tab/>
      </w:r>
      <w:r w:rsidRPr="00A77306">
        <w:rPr>
          <w:rFonts w:ascii="Arial" w:hAnsi="Arial" w:cs="Arial"/>
        </w:rPr>
        <w:t xml:space="preserve">(B) </w:t>
      </w:r>
      <w:r w:rsidR="00C01036">
        <w:rPr>
          <w:rFonts w:ascii="Arial" w:hAnsi="Arial" w:cs="Arial"/>
        </w:rPr>
        <w:t xml:space="preserve"> </w:t>
      </w:r>
      <w:r w:rsidRPr="00A77306">
        <w:rPr>
          <w:rFonts w:ascii="Arial" w:hAnsi="Arial" w:cs="Arial"/>
        </w:rPr>
        <w:t>Inventory reports provided by the contractor in accordance with FAR clause 52.245-1; or</w:t>
      </w:r>
    </w:p>
    <w:p w14:paraId="1B340A9B" w14:textId="77777777" w:rsidR="00A77306" w:rsidRP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p>
    <w:p w14:paraId="497FA99F" w14:textId="263E88A6" w:rsidR="00A77306" w:rsidRPr="009E51D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lastRenderedPageBreak/>
        <w:tab/>
      </w:r>
      <w:r w:rsidRPr="009E51D6">
        <w:rPr>
          <w:rFonts w:ascii="Arial" w:hAnsi="Arial" w:cs="Arial"/>
        </w:rPr>
        <w:tab/>
      </w:r>
      <w:r w:rsidRPr="009E51D6">
        <w:rPr>
          <w:rFonts w:ascii="Arial" w:hAnsi="Arial" w:cs="Arial"/>
        </w:rPr>
        <w:tab/>
      </w:r>
      <w:r w:rsidRPr="00A77306">
        <w:rPr>
          <w:rFonts w:ascii="Arial" w:hAnsi="Arial" w:cs="Arial"/>
        </w:rPr>
        <w:t xml:space="preserve">(C) </w:t>
      </w:r>
      <w:r w:rsidR="00C01036">
        <w:rPr>
          <w:rFonts w:ascii="Arial" w:hAnsi="Arial" w:cs="Arial"/>
        </w:rPr>
        <w:t xml:space="preserve"> </w:t>
      </w:r>
      <w:r w:rsidRPr="00A77306">
        <w:rPr>
          <w:rFonts w:ascii="Arial" w:hAnsi="Arial" w:cs="Arial"/>
        </w:rPr>
        <w:t>Other reporting requirements specified in the contract.</w:t>
      </w:r>
    </w:p>
    <w:p w14:paraId="35CAB09E" w14:textId="77777777" w:rsidR="00A77306" w:rsidRP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p>
    <w:p w14:paraId="7E5A3EDB" w14:textId="53A959F0" w:rsidR="00A77306" w:rsidRDefault="00A77306" w:rsidP="00C01036">
      <w:pPr>
        <w:tabs>
          <w:tab w:val="left" w:pos="360"/>
          <w:tab w:val="left" w:pos="806"/>
          <w:tab w:val="left" w:pos="1210"/>
          <w:tab w:val="left" w:pos="1656"/>
          <w:tab w:val="left" w:pos="2131"/>
          <w:tab w:val="left" w:pos="2520"/>
        </w:tabs>
        <w:spacing w:line="240" w:lineRule="exact"/>
        <w:rPr>
          <w:rFonts w:ascii="Arial" w:hAnsi="Arial" w:cs="Arial"/>
        </w:rPr>
      </w:pPr>
      <w:r w:rsidRPr="009E51D6">
        <w:rPr>
          <w:rFonts w:ascii="Arial" w:hAnsi="Arial" w:cs="Arial"/>
        </w:rPr>
        <w:t>* * * * *</w:t>
      </w:r>
    </w:p>
    <w:p w14:paraId="22EC1C84" w14:textId="570EAB06" w:rsid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rPr>
      </w:pPr>
    </w:p>
    <w:p w14:paraId="76577372" w14:textId="166E4C15" w:rsidR="00C11EE0" w:rsidRP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strike/>
        </w:rPr>
      </w:pPr>
      <w:r w:rsidRPr="00C11EE0">
        <w:rPr>
          <w:rFonts w:ascii="Arial" w:hAnsi="Arial" w:cs="Arial"/>
          <w:strike/>
        </w:rPr>
        <w:tab/>
        <w:t>(4)</w:t>
      </w:r>
      <w:r w:rsidR="0054662E">
        <w:rPr>
          <w:rFonts w:ascii="Arial" w:hAnsi="Arial" w:cs="Arial"/>
          <w:strike/>
        </w:rPr>
        <w:t xml:space="preserve">  </w:t>
      </w:r>
      <w:r w:rsidRPr="00C11EE0">
        <w:rPr>
          <w:rFonts w:ascii="Arial" w:hAnsi="Arial" w:cs="Arial"/>
          <w:i/>
          <w:iCs/>
          <w:strike/>
        </w:rPr>
        <w:t>Special circumstances.</w:t>
      </w:r>
      <w:r w:rsidR="0054662E">
        <w:rPr>
          <w:rFonts w:ascii="Arial" w:hAnsi="Arial" w:cs="Arial"/>
          <w:strike/>
        </w:rPr>
        <w:t xml:space="preserve">  </w:t>
      </w:r>
      <w:r w:rsidRPr="00C11EE0">
        <w:rPr>
          <w:rFonts w:ascii="Arial" w:hAnsi="Arial" w:cs="Arial"/>
          <w:strike/>
        </w:rPr>
        <w:t>In some circumstances, such as contractor-performed logistics support, interim contractor support, or performance-based logistics support under fixed-price contracts, contract deliverables consist of non-hardware items, such as operational readiness rate goals or mean-time-between failures of a system.</w:t>
      </w:r>
      <w:r w:rsidR="0054662E">
        <w:rPr>
          <w:rFonts w:ascii="Arial" w:hAnsi="Arial" w:cs="Arial"/>
          <w:strike/>
        </w:rPr>
        <w:t xml:space="preserve"> </w:t>
      </w:r>
      <w:r w:rsidRPr="00C11EE0">
        <w:rPr>
          <w:rFonts w:ascii="Arial" w:hAnsi="Arial" w:cs="Arial"/>
          <w:strike/>
        </w:rPr>
        <w:t xml:space="preserve"> In order to meet these deliverables, contractors are required to provide certain property items to the Government. </w:t>
      </w:r>
      <w:r w:rsidR="0054662E">
        <w:rPr>
          <w:rFonts w:ascii="Arial" w:hAnsi="Arial" w:cs="Arial"/>
          <w:strike/>
        </w:rPr>
        <w:t xml:space="preserve"> </w:t>
      </w:r>
      <w:r w:rsidRPr="00C11EE0">
        <w:rPr>
          <w:rFonts w:ascii="Arial" w:hAnsi="Arial" w:cs="Arial"/>
          <w:strike/>
        </w:rPr>
        <w:t>In such cases, the contract does not include specific delivery line items requiring formal delivery of the property.</w:t>
      </w:r>
      <w:r w:rsidR="0054662E">
        <w:rPr>
          <w:rFonts w:ascii="Arial" w:hAnsi="Arial" w:cs="Arial"/>
          <w:strike/>
        </w:rPr>
        <w:t xml:space="preserve"> </w:t>
      </w:r>
      <w:r w:rsidRPr="00C11EE0">
        <w:rPr>
          <w:rFonts w:ascii="Arial" w:hAnsi="Arial" w:cs="Arial"/>
          <w:strike/>
        </w:rPr>
        <w:t xml:space="preserve"> By extension, the Government will not have title to the property at the time contractor provides the property.</w:t>
      </w:r>
      <w:r w:rsidR="0054662E">
        <w:rPr>
          <w:rFonts w:ascii="Arial" w:hAnsi="Arial" w:cs="Arial"/>
          <w:strike/>
        </w:rPr>
        <w:t xml:space="preserve"> </w:t>
      </w:r>
      <w:r w:rsidRPr="00C11EE0">
        <w:rPr>
          <w:rFonts w:ascii="Arial" w:hAnsi="Arial" w:cs="Arial"/>
          <w:strike/>
        </w:rPr>
        <w:t xml:space="preserve"> In such cases, title to the property passes to the Government upon Government acceptance (as defined in FAR 46.101) of the items at the destination stated in the contract.</w:t>
      </w:r>
      <w:r w:rsidR="0054662E">
        <w:rPr>
          <w:rFonts w:ascii="Arial" w:hAnsi="Arial" w:cs="Arial"/>
          <w:strike/>
        </w:rPr>
        <w:t xml:space="preserve"> </w:t>
      </w:r>
      <w:r w:rsidRPr="00C11EE0">
        <w:rPr>
          <w:rFonts w:ascii="Arial" w:hAnsi="Arial" w:cs="Arial"/>
          <w:strike/>
        </w:rPr>
        <w:t xml:space="preserve"> Contracting officers shall ensure that the contract—</w:t>
      </w:r>
    </w:p>
    <w:p w14:paraId="458523F2" w14:textId="77777777" w:rsidR="00C11EE0" w:rsidRP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strike/>
        </w:rPr>
      </w:pPr>
    </w:p>
    <w:p w14:paraId="13F4D6A0" w14:textId="6F14050F" w:rsidR="00C11EE0" w:rsidRP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strike/>
        </w:rPr>
      </w:pPr>
      <w:r w:rsidRPr="00C11EE0">
        <w:rPr>
          <w:rFonts w:ascii="Arial" w:hAnsi="Arial" w:cs="Arial"/>
          <w:strike/>
        </w:rPr>
        <w:tab/>
      </w:r>
      <w:r w:rsidRPr="00C11EE0">
        <w:rPr>
          <w:rFonts w:ascii="Arial" w:hAnsi="Arial" w:cs="Arial"/>
          <w:strike/>
        </w:rPr>
        <w:tab/>
        <w:t>(i) Clearly defines how and when acceptance will be performed; and</w:t>
      </w:r>
    </w:p>
    <w:p w14:paraId="6E130A48" w14:textId="77777777" w:rsidR="00C11EE0" w:rsidRP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strike/>
        </w:rPr>
      </w:pPr>
    </w:p>
    <w:p w14:paraId="32DA757E" w14:textId="5F3428F4" w:rsidR="00C11EE0" w:rsidRP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strike/>
        </w:rPr>
      </w:pPr>
      <w:r w:rsidRPr="00C11EE0">
        <w:rPr>
          <w:rFonts w:ascii="Arial" w:hAnsi="Arial" w:cs="Arial"/>
          <w:strike/>
        </w:rPr>
        <w:tab/>
      </w:r>
      <w:r w:rsidRPr="00C11EE0">
        <w:rPr>
          <w:rFonts w:ascii="Arial" w:hAnsi="Arial" w:cs="Arial"/>
          <w:strike/>
        </w:rPr>
        <w:tab/>
        <w:t>(ii) Includes applicable requirements for quality assurance, part marking, anti-counterfeiting, or other requirement for the delivery of the property.</w:t>
      </w:r>
    </w:p>
    <w:p w14:paraId="68C3F26C" w14:textId="480D1DF3" w:rsidR="00C11EE0" w:rsidRDefault="00C11EE0" w:rsidP="00C01036">
      <w:pPr>
        <w:tabs>
          <w:tab w:val="left" w:pos="360"/>
          <w:tab w:val="left" w:pos="806"/>
          <w:tab w:val="left" w:pos="1210"/>
          <w:tab w:val="left" w:pos="1656"/>
          <w:tab w:val="left" w:pos="2131"/>
          <w:tab w:val="left" w:pos="2520"/>
        </w:tabs>
        <w:spacing w:line="240" w:lineRule="exact"/>
        <w:rPr>
          <w:rFonts w:ascii="Arial" w:hAnsi="Arial" w:cs="Arial"/>
        </w:rPr>
      </w:pPr>
    </w:p>
    <w:p w14:paraId="3A42BE5B" w14:textId="01085BFF"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 * * *</w:t>
      </w:r>
      <w:r w:rsidR="0054662E">
        <w:rPr>
          <w:rFonts w:ascii="Arial" w:hAnsi="Arial" w:cs="Arial"/>
        </w:rPr>
        <w:t xml:space="preserve"> </w:t>
      </w:r>
      <w:r>
        <w:rPr>
          <w:rFonts w:ascii="Arial" w:hAnsi="Arial" w:cs="Arial"/>
        </w:rPr>
        <w:t>*</w:t>
      </w:r>
    </w:p>
    <w:p w14:paraId="0A7842E0"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42616002" w14:textId="7CBC6F4A" w:rsidR="00A340EF" w:rsidRDefault="00A340EF" w:rsidP="00C01036">
      <w:pPr>
        <w:pStyle w:val="style1"/>
        <w:tabs>
          <w:tab w:val="left" w:pos="360"/>
          <w:tab w:val="left" w:pos="806"/>
          <w:tab w:val="left" w:pos="1210"/>
          <w:tab w:val="left" w:pos="1656"/>
          <w:tab w:val="left" w:pos="2131"/>
          <w:tab w:val="left" w:pos="2520"/>
        </w:tabs>
        <w:spacing w:before="0" w:beforeAutospacing="0" w:after="0" w:afterAutospacing="0" w:line="240" w:lineRule="exact"/>
        <w:rPr>
          <w:rStyle w:val="Strong"/>
          <w:rFonts w:ascii="Arial" w:hAnsi="Arial" w:cs="Arial"/>
          <w:caps/>
          <w:color w:val="000000"/>
        </w:rPr>
      </w:pPr>
      <w:r>
        <w:rPr>
          <w:rStyle w:val="Strong"/>
          <w:rFonts w:ascii="Arial" w:hAnsi="Arial" w:cs="Arial"/>
          <w:color w:val="000000"/>
        </w:rPr>
        <w:t>PGI 245.6</w:t>
      </w:r>
      <w:r w:rsidR="002837AF">
        <w:rPr>
          <w:rStyle w:val="Strong"/>
          <w:rFonts w:ascii="Arial" w:hAnsi="Arial" w:cs="Arial"/>
          <w:color w:val="000000"/>
        </w:rPr>
        <w:t>—</w:t>
      </w:r>
      <w:r>
        <w:rPr>
          <w:rStyle w:val="Strong"/>
          <w:rFonts w:ascii="Arial" w:hAnsi="Arial" w:cs="Arial"/>
          <w:caps/>
          <w:color w:val="000000"/>
        </w:rPr>
        <w:t>REPORTING, REUTILIZATION, AND DISPOSAL</w:t>
      </w:r>
    </w:p>
    <w:p w14:paraId="1A335362" w14:textId="77777777" w:rsidR="00C01036" w:rsidRDefault="00C01036" w:rsidP="00C01036">
      <w:pPr>
        <w:pStyle w:val="style1"/>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rPr>
      </w:pPr>
    </w:p>
    <w:p w14:paraId="2CAD0807" w14:textId="2ED27846" w:rsidR="00A340EF" w:rsidRDefault="00A340EF" w:rsidP="00C0103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b/>
          <w:bCs/>
          <w:caps/>
          <w:color w:val="000000"/>
        </w:rPr>
      </w:pPr>
      <w:bookmarkStart w:id="2" w:name="245.602-70"/>
      <w:r>
        <w:rPr>
          <w:rFonts w:ascii="Arial" w:hAnsi="Arial" w:cs="Arial"/>
          <w:b/>
          <w:bCs/>
          <w:color w:val="000000"/>
        </w:rPr>
        <w:t xml:space="preserve">PGI 245.602-70 </w:t>
      </w:r>
      <w:r w:rsidR="00523F57">
        <w:rPr>
          <w:rFonts w:ascii="Arial" w:hAnsi="Arial" w:cs="Arial"/>
          <w:b/>
          <w:bCs/>
          <w:color w:val="000000"/>
        </w:rPr>
        <w:t xml:space="preserve"> </w:t>
      </w:r>
      <w:r>
        <w:rPr>
          <w:rFonts w:ascii="Arial" w:hAnsi="Arial" w:cs="Arial"/>
          <w:b/>
          <w:bCs/>
          <w:color w:val="000000"/>
        </w:rPr>
        <w:t>Plant clearance procedures.</w:t>
      </w:r>
      <w:bookmarkEnd w:id="2"/>
    </w:p>
    <w:p w14:paraId="78A48C1A" w14:textId="77777777" w:rsidR="00D076B3" w:rsidRDefault="00D076B3" w:rsidP="00C0103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rPr>
      </w:pPr>
    </w:p>
    <w:p w14:paraId="6CA060E3" w14:textId="1762C570"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 * * * *</w:t>
      </w:r>
    </w:p>
    <w:p w14:paraId="0895400D" w14:textId="77777777" w:rsidR="00C01036" w:rsidRDefault="00C01036" w:rsidP="00C01036">
      <w:pPr>
        <w:tabs>
          <w:tab w:val="left" w:pos="360"/>
          <w:tab w:val="left" w:pos="806"/>
          <w:tab w:val="left" w:pos="1210"/>
          <w:tab w:val="left" w:pos="1656"/>
          <w:tab w:val="left" w:pos="2131"/>
          <w:tab w:val="left" w:pos="2520"/>
        </w:tabs>
        <w:spacing w:line="240" w:lineRule="exact"/>
        <w:rPr>
          <w:rFonts w:ascii="Arial" w:hAnsi="Arial" w:cs="Arial"/>
        </w:rPr>
      </w:pPr>
    </w:p>
    <w:p w14:paraId="26B8B4F0" w14:textId="31968122" w:rsidR="00A340EF" w:rsidRPr="00776E40" w:rsidRDefault="00523F57" w:rsidP="00C01036">
      <w:pPr>
        <w:pStyle w:val="DFARS0"/>
        <w:tabs>
          <w:tab w:val="clear" w:pos="810"/>
          <w:tab w:val="left" w:pos="806"/>
        </w:tabs>
        <w:rPr>
          <w:rFonts w:ascii="Arial" w:hAnsi="Arial" w:cs="Arial"/>
          <w:b/>
          <w:bCs/>
          <w:szCs w:val="24"/>
        </w:rPr>
      </w:pPr>
      <w:bookmarkStart w:id="3" w:name="_Hlk153539865"/>
      <w:r w:rsidRPr="00776E40">
        <w:rPr>
          <w:rFonts w:ascii="Arial" w:hAnsi="Arial" w:cs="Arial"/>
          <w:b/>
          <w:bCs/>
          <w:szCs w:val="24"/>
        </w:rPr>
        <w:tab/>
      </w:r>
      <w:r w:rsidR="00776E40" w:rsidRPr="00776E40">
        <w:rPr>
          <w:rFonts w:ascii="Arial" w:hAnsi="Arial" w:cs="Arial"/>
          <w:b/>
          <w:bCs/>
          <w:szCs w:val="24"/>
        </w:rPr>
        <w:t>[</w:t>
      </w:r>
      <w:r w:rsidR="00173621" w:rsidRPr="00776E40">
        <w:rPr>
          <w:rFonts w:ascii="Arial" w:hAnsi="Arial" w:cs="Arial"/>
          <w:b/>
          <w:bCs/>
          <w:szCs w:val="24"/>
        </w:rPr>
        <w:t xml:space="preserve">(14)  The </w:t>
      </w:r>
      <w:r w:rsidR="0058347A" w:rsidRPr="00776E40">
        <w:rPr>
          <w:rFonts w:ascii="Arial" w:hAnsi="Arial" w:cs="Arial"/>
          <w:b/>
          <w:bCs/>
          <w:szCs w:val="24"/>
        </w:rPr>
        <w:t>PLCO</w:t>
      </w:r>
      <w:r w:rsidR="00173621" w:rsidRPr="00776E40">
        <w:rPr>
          <w:rFonts w:ascii="Arial" w:hAnsi="Arial" w:cs="Arial"/>
          <w:b/>
          <w:bCs/>
          <w:szCs w:val="24"/>
        </w:rPr>
        <w:t xml:space="preserve"> shall u</w:t>
      </w:r>
      <w:r w:rsidR="00A340EF" w:rsidRPr="00776E40">
        <w:rPr>
          <w:rFonts w:ascii="Arial" w:hAnsi="Arial" w:cs="Arial"/>
          <w:b/>
          <w:bCs/>
          <w:szCs w:val="24"/>
        </w:rPr>
        <w:t>se the DD Form 1641, Disposal Determination Approval</w:t>
      </w:r>
      <w:r w:rsidR="00173621" w:rsidRPr="00776E40">
        <w:rPr>
          <w:rFonts w:ascii="Arial" w:hAnsi="Arial" w:cs="Arial"/>
          <w:b/>
          <w:bCs/>
          <w:szCs w:val="24"/>
        </w:rPr>
        <w:t>, or electronic equivalent</w:t>
      </w:r>
      <w:r w:rsidR="00A340EF" w:rsidRPr="00776E40">
        <w:rPr>
          <w:rFonts w:ascii="Arial" w:hAnsi="Arial" w:cs="Arial"/>
          <w:b/>
          <w:bCs/>
          <w:szCs w:val="24"/>
        </w:rPr>
        <w:t xml:space="preserve"> to record </w:t>
      </w:r>
      <w:r w:rsidR="002837AF">
        <w:rPr>
          <w:rFonts w:ascii="Arial" w:hAnsi="Arial" w:cs="Arial"/>
          <w:b/>
          <w:bCs/>
          <w:szCs w:val="24"/>
        </w:rPr>
        <w:t xml:space="preserve">the </w:t>
      </w:r>
      <w:r w:rsidR="00A340EF" w:rsidRPr="00776E40">
        <w:rPr>
          <w:rFonts w:ascii="Arial" w:hAnsi="Arial" w:cs="Arial"/>
          <w:b/>
          <w:bCs/>
          <w:szCs w:val="24"/>
        </w:rPr>
        <w:t>rationale for the following disposal determinations:</w:t>
      </w:r>
    </w:p>
    <w:p w14:paraId="17022D63" w14:textId="207BDE4B" w:rsidR="00A340EF" w:rsidRPr="00776E40" w:rsidRDefault="00A340EF" w:rsidP="00C01036">
      <w:pPr>
        <w:pStyle w:val="DFARS0"/>
        <w:tabs>
          <w:tab w:val="clear" w:pos="810"/>
          <w:tab w:val="left" w:pos="806"/>
        </w:tabs>
        <w:rPr>
          <w:rFonts w:ascii="Arial" w:hAnsi="Arial" w:cs="Arial"/>
          <w:b/>
          <w:bCs/>
          <w:szCs w:val="24"/>
        </w:rPr>
      </w:pPr>
    </w:p>
    <w:p w14:paraId="4993EC68" w14:textId="2BCCE9CF" w:rsidR="00A340EF" w:rsidRPr="00776E40" w:rsidRDefault="00A340EF" w:rsidP="00C01036">
      <w:pPr>
        <w:pStyle w:val="DFARS0"/>
        <w:tabs>
          <w:tab w:val="clear" w:pos="810"/>
          <w:tab w:val="left" w:pos="806"/>
        </w:tabs>
        <w:rPr>
          <w:rFonts w:ascii="Arial" w:hAnsi="Arial" w:cs="Arial"/>
          <w:b/>
          <w:bCs/>
          <w:szCs w:val="24"/>
        </w:rPr>
      </w:pPr>
      <w:r w:rsidRPr="00776E40">
        <w:rPr>
          <w:rFonts w:ascii="Arial" w:hAnsi="Arial" w:cs="Arial"/>
          <w:b/>
          <w:bCs/>
          <w:szCs w:val="24"/>
        </w:rPr>
        <w:tab/>
      </w:r>
      <w:r w:rsidR="00523F57" w:rsidRPr="00776E40">
        <w:rPr>
          <w:rFonts w:ascii="Arial" w:hAnsi="Arial" w:cs="Arial"/>
          <w:b/>
          <w:bCs/>
          <w:szCs w:val="24"/>
        </w:rPr>
        <w:tab/>
      </w:r>
      <w:r w:rsidRPr="00776E40">
        <w:rPr>
          <w:rFonts w:ascii="Arial" w:hAnsi="Arial" w:cs="Arial"/>
          <w:b/>
          <w:bCs/>
          <w:szCs w:val="24"/>
        </w:rPr>
        <w:t>(</w:t>
      </w:r>
      <w:r w:rsidR="00B51E72">
        <w:rPr>
          <w:rFonts w:ascii="Arial" w:hAnsi="Arial" w:cs="Arial"/>
          <w:b/>
          <w:bCs/>
          <w:szCs w:val="24"/>
        </w:rPr>
        <w:t>i</w:t>
      </w:r>
      <w:r w:rsidRPr="00776E40">
        <w:rPr>
          <w:rFonts w:ascii="Arial" w:hAnsi="Arial" w:cs="Arial"/>
          <w:b/>
          <w:bCs/>
          <w:szCs w:val="24"/>
        </w:rPr>
        <w:t>)  Downgrade useable property to scrap.</w:t>
      </w:r>
    </w:p>
    <w:p w14:paraId="4AE12986" w14:textId="1A189C09" w:rsidR="00A340EF" w:rsidRPr="00776E40" w:rsidRDefault="00A340EF" w:rsidP="00C01036">
      <w:pPr>
        <w:pStyle w:val="DFARS0"/>
        <w:tabs>
          <w:tab w:val="clear" w:pos="810"/>
          <w:tab w:val="left" w:pos="806"/>
        </w:tabs>
        <w:rPr>
          <w:rFonts w:ascii="Arial" w:hAnsi="Arial" w:cs="Arial"/>
          <w:b/>
          <w:bCs/>
          <w:szCs w:val="24"/>
        </w:rPr>
      </w:pPr>
    </w:p>
    <w:p w14:paraId="3B02C80E" w14:textId="25ADD4F1" w:rsidR="00A340EF" w:rsidRPr="00776E40" w:rsidRDefault="00A340EF" w:rsidP="00C01036">
      <w:pPr>
        <w:pStyle w:val="DFARS0"/>
        <w:tabs>
          <w:tab w:val="clear" w:pos="810"/>
          <w:tab w:val="left" w:pos="806"/>
        </w:tabs>
        <w:rPr>
          <w:rFonts w:ascii="Arial" w:hAnsi="Arial" w:cs="Arial"/>
          <w:b/>
          <w:bCs/>
          <w:szCs w:val="24"/>
        </w:rPr>
      </w:pPr>
      <w:r w:rsidRPr="00776E40">
        <w:rPr>
          <w:rFonts w:ascii="Arial" w:hAnsi="Arial" w:cs="Arial"/>
          <w:b/>
          <w:bCs/>
          <w:szCs w:val="24"/>
        </w:rPr>
        <w:tab/>
      </w:r>
      <w:r w:rsidR="00523F57" w:rsidRPr="00776E40">
        <w:rPr>
          <w:rFonts w:ascii="Arial" w:hAnsi="Arial" w:cs="Arial"/>
          <w:b/>
          <w:bCs/>
          <w:szCs w:val="24"/>
        </w:rPr>
        <w:tab/>
      </w:r>
      <w:r w:rsidRPr="00776E40">
        <w:rPr>
          <w:rFonts w:ascii="Arial" w:hAnsi="Arial" w:cs="Arial"/>
          <w:b/>
          <w:bCs/>
          <w:szCs w:val="24"/>
        </w:rPr>
        <w:t>(</w:t>
      </w:r>
      <w:r w:rsidR="00B51E72">
        <w:rPr>
          <w:rFonts w:ascii="Arial" w:hAnsi="Arial" w:cs="Arial"/>
          <w:b/>
          <w:bCs/>
          <w:szCs w:val="24"/>
        </w:rPr>
        <w:t>ii</w:t>
      </w:r>
      <w:r w:rsidRPr="00776E40">
        <w:rPr>
          <w:rFonts w:ascii="Arial" w:hAnsi="Arial" w:cs="Arial"/>
          <w:b/>
          <w:bCs/>
          <w:szCs w:val="24"/>
        </w:rPr>
        <w:t>)  Abandonment or destruction.</w:t>
      </w:r>
    </w:p>
    <w:p w14:paraId="74C19AC6" w14:textId="394E238A" w:rsidR="00A340EF" w:rsidRPr="00776E40" w:rsidRDefault="00A340EF" w:rsidP="00C01036">
      <w:pPr>
        <w:pStyle w:val="DFARS0"/>
        <w:tabs>
          <w:tab w:val="clear" w:pos="810"/>
          <w:tab w:val="left" w:pos="806"/>
        </w:tabs>
        <w:rPr>
          <w:rFonts w:ascii="Arial" w:hAnsi="Arial" w:cs="Arial"/>
          <w:b/>
          <w:bCs/>
          <w:szCs w:val="24"/>
        </w:rPr>
      </w:pPr>
    </w:p>
    <w:p w14:paraId="425B8807" w14:textId="26FEC959" w:rsidR="00A340EF" w:rsidRPr="00776E40" w:rsidRDefault="00A340EF" w:rsidP="00C01036">
      <w:pPr>
        <w:pStyle w:val="DFARS0"/>
        <w:tabs>
          <w:tab w:val="clear" w:pos="810"/>
          <w:tab w:val="left" w:pos="806"/>
        </w:tabs>
        <w:rPr>
          <w:rFonts w:ascii="Arial" w:hAnsi="Arial" w:cs="Arial"/>
          <w:b/>
          <w:bCs/>
          <w:szCs w:val="24"/>
        </w:rPr>
      </w:pPr>
      <w:r w:rsidRPr="00776E40">
        <w:rPr>
          <w:rFonts w:ascii="Arial" w:hAnsi="Arial" w:cs="Arial"/>
          <w:b/>
          <w:bCs/>
          <w:szCs w:val="24"/>
        </w:rPr>
        <w:tab/>
      </w:r>
      <w:r w:rsidR="00523F57" w:rsidRPr="00776E40">
        <w:rPr>
          <w:rFonts w:ascii="Arial" w:hAnsi="Arial" w:cs="Arial"/>
          <w:b/>
          <w:bCs/>
          <w:szCs w:val="24"/>
        </w:rPr>
        <w:tab/>
      </w:r>
      <w:r w:rsidRPr="00776E40">
        <w:rPr>
          <w:rFonts w:ascii="Arial" w:hAnsi="Arial" w:cs="Arial"/>
          <w:b/>
          <w:bCs/>
          <w:szCs w:val="24"/>
        </w:rPr>
        <w:t>(</w:t>
      </w:r>
      <w:r w:rsidR="00B51E72">
        <w:rPr>
          <w:rFonts w:ascii="Arial" w:hAnsi="Arial" w:cs="Arial"/>
          <w:b/>
          <w:bCs/>
          <w:szCs w:val="24"/>
        </w:rPr>
        <w:t>iii</w:t>
      </w:r>
      <w:r w:rsidRPr="00776E40">
        <w:rPr>
          <w:rFonts w:ascii="Arial" w:hAnsi="Arial" w:cs="Arial"/>
          <w:b/>
          <w:bCs/>
          <w:szCs w:val="24"/>
        </w:rPr>
        <w:t>)  Noncompetitive sale of surplus property.</w:t>
      </w:r>
    </w:p>
    <w:p w14:paraId="4C7E562D" w14:textId="17A1D348" w:rsidR="00A340EF" w:rsidRPr="00776E40" w:rsidRDefault="00A340EF" w:rsidP="00C01036">
      <w:pPr>
        <w:pStyle w:val="DFARS0"/>
        <w:tabs>
          <w:tab w:val="clear" w:pos="810"/>
          <w:tab w:val="left" w:pos="806"/>
        </w:tabs>
        <w:rPr>
          <w:rFonts w:ascii="Arial" w:hAnsi="Arial" w:cs="Arial"/>
          <w:b/>
          <w:bCs/>
          <w:szCs w:val="24"/>
        </w:rPr>
      </w:pPr>
    </w:p>
    <w:p w14:paraId="13EAA24F" w14:textId="2B93A7E9" w:rsidR="00776E40" w:rsidRDefault="00A340EF" w:rsidP="00C01036">
      <w:pPr>
        <w:pStyle w:val="DFARS0"/>
        <w:tabs>
          <w:tab w:val="clear" w:pos="810"/>
          <w:tab w:val="left" w:pos="806"/>
        </w:tabs>
        <w:rPr>
          <w:rFonts w:ascii="Arial" w:hAnsi="Arial" w:cs="Arial"/>
          <w:b/>
          <w:bCs/>
          <w:szCs w:val="24"/>
        </w:rPr>
      </w:pPr>
      <w:r w:rsidRPr="00776E40">
        <w:rPr>
          <w:rFonts w:ascii="Arial" w:hAnsi="Arial" w:cs="Arial"/>
          <w:b/>
          <w:bCs/>
          <w:szCs w:val="24"/>
        </w:rPr>
        <w:tab/>
      </w:r>
      <w:r w:rsidR="00523F57" w:rsidRPr="00776E40">
        <w:rPr>
          <w:rFonts w:ascii="Arial" w:hAnsi="Arial" w:cs="Arial"/>
          <w:b/>
          <w:bCs/>
          <w:szCs w:val="24"/>
        </w:rPr>
        <w:tab/>
      </w:r>
      <w:r w:rsidRPr="00776E40">
        <w:rPr>
          <w:rFonts w:ascii="Arial" w:hAnsi="Arial" w:cs="Arial"/>
          <w:b/>
          <w:bCs/>
          <w:szCs w:val="24"/>
        </w:rPr>
        <w:t>(</w:t>
      </w:r>
      <w:r w:rsidR="00B51E72">
        <w:rPr>
          <w:rFonts w:ascii="Arial" w:hAnsi="Arial" w:cs="Arial"/>
          <w:b/>
          <w:bCs/>
          <w:szCs w:val="24"/>
        </w:rPr>
        <w:t>iv</w:t>
      </w:r>
      <w:r w:rsidRPr="00776E40">
        <w:rPr>
          <w:rFonts w:ascii="Arial" w:hAnsi="Arial" w:cs="Arial"/>
          <w:b/>
          <w:bCs/>
          <w:szCs w:val="24"/>
        </w:rPr>
        <w:t>)  Other disposal actions.</w:t>
      </w:r>
    </w:p>
    <w:p w14:paraId="2C6EBDC0" w14:textId="77777777" w:rsidR="00776E40" w:rsidRPr="00776E40" w:rsidRDefault="00776E40" w:rsidP="00C01036">
      <w:pPr>
        <w:pStyle w:val="DFARS0"/>
        <w:tabs>
          <w:tab w:val="clear" w:pos="810"/>
          <w:tab w:val="left" w:pos="806"/>
        </w:tabs>
        <w:rPr>
          <w:rFonts w:ascii="Arial" w:hAnsi="Arial" w:cs="Arial"/>
          <w:b/>
          <w:bCs/>
          <w:szCs w:val="24"/>
        </w:rPr>
      </w:pPr>
    </w:p>
    <w:p w14:paraId="7AFCD069" w14:textId="7BABFE3D" w:rsidR="00ED3DD8" w:rsidRPr="00776E40" w:rsidRDefault="00523F57" w:rsidP="00C01036">
      <w:pPr>
        <w:pStyle w:val="DFARS0"/>
        <w:tabs>
          <w:tab w:val="clear" w:pos="810"/>
          <w:tab w:val="left" w:pos="806"/>
        </w:tabs>
        <w:rPr>
          <w:rFonts w:ascii="Arial" w:hAnsi="Arial" w:cs="Arial"/>
          <w:b/>
          <w:bCs/>
          <w:szCs w:val="24"/>
        </w:rPr>
      </w:pPr>
      <w:r w:rsidRPr="00776E40">
        <w:rPr>
          <w:rFonts w:ascii="Arial" w:hAnsi="Arial" w:cs="Arial"/>
          <w:b/>
          <w:bCs/>
          <w:szCs w:val="24"/>
        </w:rPr>
        <w:tab/>
      </w:r>
      <w:r w:rsidR="00ED3DD8" w:rsidRPr="00776E40">
        <w:rPr>
          <w:rFonts w:ascii="Arial" w:hAnsi="Arial" w:cs="Arial"/>
          <w:b/>
          <w:bCs/>
          <w:szCs w:val="24"/>
        </w:rPr>
        <w:t xml:space="preserve">(15)  </w:t>
      </w:r>
      <w:r w:rsidR="005613BD">
        <w:rPr>
          <w:rFonts w:ascii="Arial" w:hAnsi="Arial" w:cs="Arial"/>
          <w:b/>
          <w:bCs/>
          <w:szCs w:val="24"/>
        </w:rPr>
        <w:t>The PCLO shall u</w:t>
      </w:r>
      <w:r w:rsidR="00ED3DD8" w:rsidRPr="00776E40">
        <w:rPr>
          <w:rFonts w:ascii="Arial" w:hAnsi="Arial" w:cs="Arial"/>
          <w:b/>
          <w:bCs/>
          <w:szCs w:val="24"/>
        </w:rPr>
        <w:t>se the SF 97, Certificate of Release of a Motor Vehicle (Agency Record Copy) for transfers, donations, and sales of motor vehicles and furnish a copy to the purchaser.</w:t>
      </w:r>
      <w:r w:rsidR="00776E40" w:rsidRPr="00776E40">
        <w:rPr>
          <w:rFonts w:ascii="Arial" w:hAnsi="Arial" w:cs="Arial"/>
          <w:b/>
          <w:bCs/>
          <w:szCs w:val="24"/>
        </w:rPr>
        <w:t>]</w:t>
      </w:r>
    </w:p>
    <w:bookmarkEnd w:id="3"/>
    <w:p w14:paraId="69696E4B" w14:textId="77777777" w:rsidR="00505E09" w:rsidRPr="00352C87" w:rsidRDefault="00505E09" w:rsidP="0054662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p>
    <w:p w14:paraId="49F66986" w14:textId="25832964" w:rsidR="00776E40" w:rsidRPr="00352C87" w:rsidRDefault="00776E40" w:rsidP="00352C87">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r w:rsidRPr="00352C87">
        <w:rPr>
          <w:rFonts w:ascii="Arial" w:hAnsi="Arial" w:cs="Arial"/>
        </w:rPr>
        <w:tab/>
        <w:t>(</w:t>
      </w:r>
      <w:r w:rsidRPr="00352C87">
        <w:rPr>
          <w:rFonts w:ascii="Arial" w:hAnsi="Arial" w:cs="Arial"/>
          <w:strike/>
        </w:rPr>
        <w:t>14</w:t>
      </w:r>
      <w:r w:rsidRPr="00352C87">
        <w:rPr>
          <w:rFonts w:ascii="Arial" w:hAnsi="Arial" w:cs="Arial"/>
          <w:b/>
          <w:bCs/>
        </w:rPr>
        <w:t>[16]</w:t>
      </w:r>
      <w:r w:rsidRPr="00352C87">
        <w:rPr>
          <w:rFonts w:ascii="Arial" w:hAnsi="Arial" w:cs="Arial"/>
        </w:rPr>
        <w:t>)</w:t>
      </w:r>
      <w:r w:rsidR="0054662E" w:rsidRPr="00352C87">
        <w:rPr>
          <w:rFonts w:ascii="Arial" w:hAnsi="Arial" w:cs="Arial"/>
        </w:rPr>
        <w:t xml:space="preserve"> </w:t>
      </w:r>
      <w:r w:rsidRPr="00352C87">
        <w:rPr>
          <w:rFonts w:ascii="Arial" w:hAnsi="Arial" w:cs="Arial"/>
        </w:rPr>
        <w:t xml:space="preserve"> Security assistance transfers or foreign military sales shall be conducted in accordance with the terms and conditions of the contract and consistent with DoD 5105.38-M Security Assistance Management Manual.</w:t>
      </w:r>
    </w:p>
    <w:p w14:paraId="1A6A74DD" w14:textId="77777777" w:rsidR="00505E09" w:rsidRPr="00352C87" w:rsidRDefault="00505E09" w:rsidP="0054662E">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p>
    <w:p w14:paraId="1F01F90B" w14:textId="71F7B55D" w:rsidR="00A340EF" w:rsidRPr="00352C87" w:rsidRDefault="00776E40" w:rsidP="00352C87">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r w:rsidRPr="00352C87">
        <w:rPr>
          <w:rFonts w:ascii="Arial" w:hAnsi="Arial" w:cs="Arial"/>
        </w:rPr>
        <w:tab/>
        <w:t>(</w:t>
      </w:r>
      <w:r w:rsidRPr="00352C87">
        <w:rPr>
          <w:rFonts w:ascii="Arial" w:hAnsi="Arial" w:cs="Arial"/>
          <w:strike/>
        </w:rPr>
        <w:t>15</w:t>
      </w:r>
      <w:r w:rsidRPr="00352C87">
        <w:rPr>
          <w:rFonts w:ascii="Arial" w:hAnsi="Arial" w:cs="Arial"/>
          <w:b/>
          <w:bCs/>
        </w:rPr>
        <w:t>[17]</w:t>
      </w:r>
      <w:r w:rsidRPr="00352C87">
        <w:rPr>
          <w:rFonts w:ascii="Arial" w:hAnsi="Arial" w:cs="Arial"/>
        </w:rPr>
        <w:t>)</w:t>
      </w:r>
      <w:r w:rsidR="00505E09">
        <w:rPr>
          <w:rFonts w:ascii="Arial" w:hAnsi="Arial" w:cs="Arial"/>
        </w:rPr>
        <w:t xml:space="preserve"> </w:t>
      </w:r>
      <w:r w:rsidRPr="00352C87">
        <w:rPr>
          <w:rFonts w:ascii="Arial" w:hAnsi="Arial" w:cs="Arial"/>
        </w:rPr>
        <w:t xml:space="preserve"> The plant clearance officer may send a notice of proposed surplus sale to </w:t>
      </w:r>
      <w:r w:rsidRPr="00352C87">
        <w:rPr>
          <w:rFonts w:ascii="Arial" w:hAnsi="Arial" w:cs="Arial"/>
          <w:strike/>
        </w:rPr>
        <w:t>FedBizOpps (</w:t>
      </w:r>
      <w:bookmarkStart w:id="4" w:name="_Hlk153539974"/>
      <w:r w:rsidR="00667CC1">
        <w:fldChar w:fldCharType="begin"/>
      </w:r>
      <w:r w:rsidR="00667CC1">
        <w:instrText xml:space="preserve"> HYPERLINK </w:instrText>
      </w:r>
      <w:r w:rsidR="00667CC1">
        <w:fldChar w:fldCharType="separate"/>
      </w:r>
      <w:r w:rsidR="00DB0917" w:rsidRPr="00352C87">
        <w:rPr>
          <w:rStyle w:val="Hyperlink"/>
          <w:rFonts w:ascii="Arial" w:hAnsi="Arial" w:cs="Arial"/>
          <w:strike/>
          <w:color w:val="auto"/>
          <w:u w:val="none"/>
        </w:rPr>
        <w:t xml:space="preserve">http://www.fbo.gov) </w:t>
      </w:r>
      <w:r w:rsidR="00DB0917" w:rsidRPr="00352C87">
        <w:rPr>
          <w:rStyle w:val="Hyperlink"/>
          <w:rFonts w:ascii="Arial" w:hAnsi="Arial" w:cs="Arial"/>
          <w:b/>
          <w:color w:val="auto"/>
          <w:u w:val="none"/>
        </w:rPr>
        <w:t>[the Governmentwide</w:t>
      </w:r>
      <w:r w:rsidR="00667CC1">
        <w:rPr>
          <w:rStyle w:val="Hyperlink"/>
          <w:rFonts w:ascii="Arial" w:hAnsi="Arial" w:cs="Arial"/>
          <w:b/>
          <w:color w:val="auto"/>
          <w:u w:val="none"/>
        </w:rPr>
        <w:fldChar w:fldCharType="end"/>
      </w:r>
      <w:r w:rsidR="00DB0917" w:rsidRPr="00352C87">
        <w:rPr>
          <w:rFonts w:ascii="Arial" w:hAnsi="Arial" w:cs="Arial"/>
          <w:b/>
        </w:rPr>
        <w:t xml:space="preserve"> point of entry at </w:t>
      </w:r>
      <w:r w:rsidR="00DB0917" w:rsidRPr="00352C87">
        <w:rPr>
          <w:rFonts w:ascii="Arial" w:hAnsi="Arial" w:cs="Arial"/>
          <w:b/>
          <w:i/>
          <w:iCs/>
        </w:rPr>
        <w:t>https://www.sam.gov</w:t>
      </w:r>
      <w:bookmarkEnd w:id="4"/>
      <w:r w:rsidR="00DB0917" w:rsidRPr="00352C87">
        <w:rPr>
          <w:rFonts w:ascii="Arial" w:hAnsi="Arial" w:cs="Arial"/>
          <w:b/>
        </w:rPr>
        <w:t>]</w:t>
      </w:r>
      <w:r w:rsidR="00DB0917" w:rsidRPr="00352C87">
        <w:rPr>
          <w:rFonts w:ascii="Arial" w:hAnsi="Arial" w:cs="Arial"/>
          <w:bCs/>
        </w:rPr>
        <w:t xml:space="preserve"> </w:t>
      </w:r>
      <w:r w:rsidRPr="00352C87">
        <w:rPr>
          <w:rFonts w:ascii="Arial" w:hAnsi="Arial" w:cs="Arial"/>
        </w:rPr>
        <w:t>if the items have potentially high public interest.</w:t>
      </w:r>
    </w:p>
    <w:p w14:paraId="1F87EFDA" w14:textId="77777777" w:rsidR="00776E40" w:rsidRDefault="00776E40" w:rsidP="00C01036">
      <w:pPr>
        <w:tabs>
          <w:tab w:val="left" w:pos="360"/>
          <w:tab w:val="left" w:pos="806"/>
          <w:tab w:val="left" w:pos="1210"/>
          <w:tab w:val="left" w:pos="1656"/>
          <w:tab w:val="left" w:pos="2131"/>
          <w:tab w:val="left" w:pos="2520"/>
        </w:tabs>
        <w:spacing w:line="240" w:lineRule="exact"/>
        <w:rPr>
          <w:rFonts w:ascii="Arial" w:hAnsi="Arial" w:cs="Arial"/>
        </w:rPr>
      </w:pPr>
    </w:p>
    <w:p w14:paraId="798A1BBA" w14:textId="3B2A0336" w:rsidR="0058347A" w:rsidRPr="00A340EF" w:rsidRDefault="00413775" w:rsidP="00C01036">
      <w:pPr>
        <w:tabs>
          <w:tab w:val="left" w:pos="360"/>
          <w:tab w:val="left" w:pos="806"/>
          <w:tab w:val="left" w:pos="1210"/>
          <w:tab w:val="left" w:pos="1656"/>
          <w:tab w:val="left" w:pos="2131"/>
          <w:tab w:val="left" w:pos="2520"/>
        </w:tabs>
        <w:spacing w:line="240" w:lineRule="exact"/>
        <w:rPr>
          <w:rFonts w:ascii="Arial" w:hAnsi="Arial" w:cs="Arial"/>
        </w:rPr>
      </w:pPr>
      <w:r>
        <w:rPr>
          <w:rFonts w:ascii="Arial" w:hAnsi="Arial" w:cs="Arial"/>
        </w:rPr>
        <w:t>* * * * *</w:t>
      </w:r>
    </w:p>
    <w:sectPr w:rsidR="0058347A" w:rsidRPr="00A340EF" w:rsidSect="001846C5">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EE92" w14:textId="77777777" w:rsidR="00447857" w:rsidRDefault="00447857" w:rsidP="008B670D">
      <w:r>
        <w:separator/>
      </w:r>
    </w:p>
  </w:endnote>
  <w:endnote w:type="continuationSeparator" w:id="0">
    <w:p w14:paraId="1FC1F861" w14:textId="77777777" w:rsidR="00447857" w:rsidRDefault="00447857" w:rsidP="008B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181C" w14:textId="57765715" w:rsidR="008B670D" w:rsidRPr="001846C5" w:rsidRDefault="008B670D" w:rsidP="006005F9">
    <w:pPr>
      <w:pStyle w:val="Footer"/>
      <w:rPr>
        <w:rFonts w:ascii="Arial" w:hAnsi="Arial" w:cs="Arial"/>
        <w:sz w:val="22"/>
        <w:szCs w:val="22"/>
      </w:rPr>
    </w:pPr>
    <w:r w:rsidRPr="001846C5">
      <w:rPr>
        <w:rFonts w:ascii="Arial" w:hAnsi="Arial" w:cs="Arial"/>
        <w:sz w:val="22"/>
        <w:szCs w:val="22"/>
      </w:rPr>
      <w:tab/>
      <w:t xml:space="preserve">Page </w:t>
    </w:r>
    <w:r w:rsidRPr="001846C5">
      <w:rPr>
        <w:rFonts w:ascii="Arial" w:hAnsi="Arial" w:cs="Arial"/>
        <w:bCs/>
        <w:sz w:val="22"/>
        <w:szCs w:val="22"/>
      </w:rPr>
      <w:fldChar w:fldCharType="begin"/>
    </w:r>
    <w:r w:rsidRPr="001846C5">
      <w:rPr>
        <w:rFonts w:ascii="Arial" w:hAnsi="Arial" w:cs="Arial"/>
        <w:bCs/>
        <w:sz w:val="22"/>
        <w:szCs w:val="22"/>
      </w:rPr>
      <w:instrText xml:space="preserve"> PAGE </w:instrText>
    </w:r>
    <w:r w:rsidRPr="001846C5">
      <w:rPr>
        <w:rFonts w:ascii="Arial" w:hAnsi="Arial" w:cs="Arial"/>
        <w:bCs/>
        <w:sz w:val="22"/>
        <w:szCs w:val="22"/>
      </w:rPr>
      <w:fldChar w:fldCharType="separate"/>
    </w:r>
    <w:r w:rsidR="00DB048F" w:rsidRPr="001846C5">
      <w:rPr>
        <w:rFonts w:ascii="Arial" w:hAnsi="Arial" w:cs="Arial"/>
        <w:bCs/>
        <w:noProof/>
        <w:sz w:val="22"/>
        <w:szCs w:val="22"/>
      </w:rPr>
      <w:t>6</w:t>
    </w:r>
    <w:r w:rsidRPr="001846C5">
      <w:rPr>
        <w:rFonts w:ascii="Arial" w:hAnsi="Arial" w:cs="Arial"/>
        <w:bCs/>
        <w:sz w:val="22"/>
        <w:szCs w:val="22"/>
      </w:rPr>
      <w:fldChar w:fldCharType="end"/>
    </w:r>
    <w:r w:rsidRPr="001846C5">
      <w:rPr>
        <w:rFonts w:ascii="Arial" w:hAnsi="Arial" w:cs="Arial"/>
        <w:sz w:val="22"/>
        <w:szCs w:val="22"/>
      </w:rPr>
      <w:t xml:space="preserve"> of </w:t>
    </w:r>
    <w:r w:rsidRPr="001846C5">
      <w:rPr>
        <w:rFonts w:ascii="Arial" w:hAnsi="Arial" w:cs="Arial"/>
        <w:bCs/>
        <w:sz w:val="22"/>
        <w:szCs w:val="22"/>
      </w:rPr>
      <w:fldChar w:fldCharType="begin"/>
    </w:r>
    <w:r w:rsidRPr="001846C5">
      <w:rPr>
        <w:rFonts w:ascii="Arial" w:hAnsi="Arial" w:cs="Arial"/>
        <w:bCs/>
        <w:sz w:val="22"/>
        <w:szCs w:val="22"/>
      </w:rPr>
      <w:instrText xml:space="preserve"> NUMPAGES  </w:instrText>
    </w:r>
    <w:r w:rsidRPr="001846C5">
      <w:rPr>
        <w:rFonts w:ascii="Arial" w:hAnsi="Arial" w:cs="Arial"/>
        <w:bCs/>
        <w:sz w:val="22"/>
        <w:szCs w:val="22"/>
      </w:rPr>
      <w:fldChar w:fldCharType="separate"/>
    </w:r>
    <w:r w:rsidR="00DB048F" w:rsidRPr="001846C5">
      <w:rPr>
        <w:rFonts w:ascii="Arial" w:hAnsi="Arial" w:cs="Arial"/>
        <w:bCs/>
        <w:noProof/>
        <w:sz w:val="22"/>
        <w:szCs w:val="22"/>
      </w:rPr>
      <w:t>6</w:t>
    </w:r>
    <w:r w:rsidRPr="001846C5">
      <w:rPr>
        <w:rFonts w:ascii="Arial" w:hAnsi="Arial" w:cs="Arial"/>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E8C9" w14:textId="77777777" w:rsidR="00447857" w:rsidRDefault="00447857" w:rsidP="008B670D">
      <w:r>
        <w:separator/>
      </w:r>
    </w:p>
  </w:footnote>
  <w:footnote w:type="continuationSeparator" w:id="0">
    <w:p w14:paraId="22B3576B" w14:textId="77777777" w:rsidR="00447857" w:rsidRDefault="00447857" w:rsidP="008B6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257"/>
    <w:rsid w:val="0000238D"/>
    <w:rsid w:val="000357F2"/>
    <w:rsid w:val="00055A9A"/>
    <w:rsid w:val="0009678E"/>
    <w:rsid w:val="000B7A1B"/>
    <w:rsid w:val="000F7EA4"/>
    <w:rsid w:val="001134DD"/>
    <w:rsid w:val="00161A06"/>
    <w:rsid w:val="00173621"/>
    <w:rsid w:val="001846C5"/>
    <w:rsid w:val="00191815"/>
    <w:rsid w:val="00197760"/>
    <w:rsid w:val="001A1672"/>
    <w:rsid w:val="001A77B0"/>
    <w:rsid w:val="002332E6"/>
    <w:rsid w:val="002810B1"/>
    <w:rsid w:val="002837AF"/>
    <w:rsid w:val="002848BC"/>
    <w:rsid w:val="002B4DF7"/>
    <w:rsid w:val="002E06FE"/>
    <w:rsid w:val="00352C87"/>
    <w:rsid w:val="003E327E"/>
    <w:rsid w:val="003E4459"/>
    <w:rsid w:val="00413775"/>
    <w:rsid w:val="004221CA"/>
    <w:rsid w:val="00444CB9"/>
    <w:rsid w:val="00447857"/>
    <w:rsid w:val="00483DE9"/>
    <w:rsid w:val="004A2BB6"/>
    <w:rsid w:val="00505E09"/>
    <w:rsid w:val="005154C6"/>
    <w:rsid w:val="00523F57"/>
    <w:rsid w:val="0054662E"/>
    <w:rsid w:val="005613BD"/>
    <w:rsid w:val="0058347A"/>
    <w:rsid w:val="005977D7"/>
    <w:rsid w:val="005C5AF2"/>
    <w:rsid w:val="006005F9"/>
    <w:rsid w:val="00667CC1"/>
    <w:rsid w:val="0074471B"/>
    <w:rsid w:val="00776E40"/>
    <w:rsid w:val="00792248"/>
    <w:rsid w:val="007968D6"/>
    <w:rsid w:val="007D56D5"/>
    <w:rsid w:val="008264E3"/>
    <w:rsid w:val="008677DA"/>
    <w:rsid w:val="008A2D62"/>
    <w:rsid w:val="008B670D"/>
    <w:rsid w:val="00973C36"/>
    <w:rsid w:val="009A69D4"/>
    <w:rsid w:val="009D5F5A"/>
    <w:rsid w:val="009E51D6"/>
    <w:rsid w:val="009F03D3"/>
    <w:rsid w:val="00A205C6"/>
    <w:rsid w:val="00A2174E"/>
    <w:rsid w:val="00A340EF"/>
    <w:rsid w:val="00A429FF"/>
    <w:rsid w:val="00A43BDE"/>
    <w:rsid w:val="00A77306"/>
    <w:rsid w:val="00A77516"/>
    <w:rsid w:val="00A86EB1"/>
    <w:rsid w:val="00AA332C"/>
    <w:rsid w:val="00AE300C"/>
    <w:rsid w:val="00B4534C"/>
    <w:rsid w:val="00B51E72"/>
    <w:rsid w:val="00B978E5"/>
    <w:rsid w:val="00BA292F"/>
    <w:rsid w:val="00BC6176"/>
    <w:rsid w:val="00C01036"/>
    <w:rsid w:val="00C11EE0"/>
    <w:rsid w:val="00C52F78"/>
    <w:rsid w:val="00D076B3"/>
    <w:rsid w:val="00D3261D"/>
    <w:rsid w:val="00D8652F"/>
    <w:rsid w:val="00DA10E9"/>
    <w:rsid w:val="00DA6257"/>
    <w:rsid w:val="00DB048F"/>
    <w:rsid w:val="00DB0917"/>
    <w:rsid w:val="00E25805"/>
    <w:rsid w:val="00EB0894"/>
    <w:rsid w:val="00EB59D8"/>
    <w:rsid w:val="00ED3DD8"/>
    <w:rsid w:val="00F77A6C"/>
    <w:rsid w:val="00F8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027D7"/>
  <w15:chartTrackingRefBased/>
  <w15:docId w15:val="{D6C59E78-53B9-3243-9D55-2FEE9295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57"/>
    <w:pPr>
      <w:spacing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967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A6257"/>
    <w:pPr>
      <w:spacing w:before="100" w:beforeAutospacing="1" w:after="100" w:afterAutospacing="1"/>
    </w:pPr>
  </w:style>
  <w:style w:type="character" w:customStyle="1" w:styleId="apple-converted-space">
    <w:name w:val="apple-converted-space"/>
    <w:basedOn w:val="DefaultParagraphFont"/>
    <w:rsid w:val="00DA6257"/>
  </w:style>
  <w:style w:type="character" w:styleId="Hyperlink">
    <w:name w:val="Hyperlink"/>
    <w:basedOn w:val="DefaultParagraphFont"/>
    <w:uiPriority w:val="99"/>
    <w:unhideWhenUsed/>
    <w:rsid w:val="00DA6257"/>
    <w:rPr>
      <w:color w:val="0000FF"/>
      <w:u w:val="single"/>
    </w:rPr>
  </w:style>
  <w:style w:type="character" w:customStyle="1" w:styleId="UnresolvedMention1">
    <w:name w:val="Unresolved Mention1"/>
    <w:basedOn w:val="DefaultParagraphFont"/>
    <w:uiPriority w:val="99"/>
    <w:semiHidden/>
    <w:unhideWhenUsed/>
    <w:rsid w:val="00A77306"/>
    <w:rPr>
      <w:color w:val="605E5C"/>
      <w:shd w:val="clear" w:color="auto" w:fill="E1DFDD"/>
    </w:rPr>
  </w:style>
  <w:style w:type="paragraph" w:customStyle="1" w:styleId="dfars">
    <w:name w:val="dfars"/>
    <w:basedOn w:val="Normal"/>
    <w:rsid w:val="00A340EF"/>
    <w:pPr>
      <w:spacing w:before="100" w:beforeAutospacing="1" w:after="100" w:afterAutospacing="1"/>
    </w:pPr>
  </w:style>
  <w:style w:type="paragraph" w:customStyle="1" w:styleId="style1">
    <w:name w:val="style1"/>
    <w:basedOn w:val="Normal"/>
    <w:rsid w:val="00A340EF"/>
    <w:pPr>
      <w:spacing w:before="100" w:beforeAutospacing="1" w:after="100" w:afterAutospacing="1"/>
    </w:pPr>
  </w:style>
  <w:style w:type="character" w:styleId="Strong">
    <w:name w:val="Strong"/>
    <w:basedOn w:val="DefaultParagraphFont"/>
    <w:uiPriority w:val="22"/>
    <w:qFormat/>
    <w:rsid w:val="00A340EF"/>
    <w:rPr>
      <w:b/>
      <w:bCs/>
    </w:rPr>
  </w:style>
  <w:style w:type="paragraph" w:customStyle="1" w:styleId="DFARS0">
    <w:name w:val="DFARS"/>
    <w:basedOn w:val="Normal"/>
    <w:link w:val="DFARSChar"/>
    <w:rsid w:val="00A340EF"/>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pPr>
    <w:rPr>
      <w:rFonts w:ascii="Century Schoolbook" w:hAnsi="Century Schoolbook"/>
      <w:spacing w:val="-5"/>
      <w:kern w:val="20"/>
      <w:szCs w:val="20"/>
    </w:rPr>
  </w:style>
  <w:style w:type="character" w:customStyle="1" w:styleId="DFARSChar">
    <w:name w:val="DFARS Char"/>
    <w:link w:val="DFARS0"/>
    <w:rsid w:val="00A340EF"/>
    <w:rPr>
      <w:rFonts w:ascii="Century Schoolbook" w:eastAsia="Times New Roman" w:hAnsi="Century Schoolbook" w:cs="Times New Roman"/>
      <w:spacing w:val="-5"/>
      <w:kern w:val="20"/>
      <w:szCs w:val="20"/>
    </w:rPr>
  </w:style>
  <w:style w:type="character" w:styleId="FollowedHyperlink">
    <w:name w:val="FollowedHyperlink"/>
    <w:basedOn w:val="DefaultParagraphFont"/>
    <w:uiPriority w:val="99"/>
    <w:semiHidden/>
    <w:unhideWhenUsed/>
    <w:rsid w:val="00523F57"/>
    <w:rPr>
      <w:color w:val="954F72" w:themeColor="followedHyperlink"/>
      <w:u w:val="single"/>
    </w:rPr>
  </w:style>
  <w:style w:type="character" w:styleId="CommentReference">
    <w:name w:val="annotation reference"/>
    <w:basedOn w:val="DefaultParagraphFont"/>
    <w:uiPriority w:val="99"/>
    <w:semiHidden/>
    <w:unhideWhenUsed/>
    <w:rsid w:val="00C11EE0"/>
    <w:rPr>
      <w:sz w:val="16"/>
      <w:szCs w:val="16"/>
    </w:rPr>
  </w:style>
  <w:style w:type="paragraph" w:styleId="CommentText">
    <w:name w:val="annotation text"/>
    <w:basedOn w:val="Normal"/>
    <w:link w:val="CommentTextChar"/>
    <w:uiPriority w:val="99"/>
    <w:semiHidden/>
    <w:unhideWhenUsed/>
    <w:rsid w:val="00C11EE0"/>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11EE0"/>
    <w:rPr>
      <w:sz w:val="20"/>
      <w:szCs w:val="20"/>
    </w:rPr>
  </w:style>
  <w:style w:type="paragraph" w:styleId="NormalWeb">
    <w:name w:val="Normal (Web)"/>
    <w:basedOn w:val="Normal"/>
    <w:uiPriority w:val="99"/>
    <w:unhideWhenUsed/>
    <w:rsid w:val="00776E40"/>
    <w:pPr>
      <w:spacing w:before="100" w:beforeAutospacing="1" w:after="100" w:afterAutospacing="1"/>
    </w:pPr>
  </w:style>
  <w:style w:type="paragraph" w:styleId="BalloonText">
    <w:name w:val="Balloon Text"/>
    <w:basedOn w:val="Normal"/>
    <w:link w:val="BalloonTextChar"/>
    <w:uiPriority w:val="99"/>
    <w:semiHidden/>
    <w:unhideWhenUsed/>
    <w:rsid w:val="008A2D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D62"/>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161A06"/>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161A06"/>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0967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670D"/>
    <w:pPr>
      <w:tabs>
        <w:tab w:val="center" w:pos="4680"/>
        <w:tab w:val="right" w:pos="9360"/>
      </w:tabs>
    </w:pPr>
  </w:style>
  <w:style w:type="character" w:customStyle="1" w:styleId="HeaderChar">
    <w:name w:val="Header Char"/>
    <w:basedOn w:val="DefaultParagraphFont"/>
    <w:link w:val="Header"/>
    <w:uiPriority w:val="99"/>
    <w:rsid w:val="008B670D"/>
    <w:rPr>
      <w:rFonts w:ascii="Times New Roman" w:eastAsia="Times New Roman" w:hAnsi="Times New Roman" w:cs="Times New Roman"/>
    </w:rPr>
  </w:style>
  <w:style w:type="paragraph" w:styleId="Footer">
    <w:name w:val="footer"/>
    <w:basedOn w:val="Normal"/>
    <w:link w:val="FooterChar"/>
    <w:uiPriority w:val="99"/>
    <w:unhideWhenUsed/>
    <w:rsid w:val="008B670D"/>
    <w:pPr>
      <w:tabs>
        <w:tab w:val="center" w:pos="4680"/>
        <w:tab w:val="right" w:pos="9360"/>
      </w:tabs>
    </w:pPr>
  </w:style>
  <w:style w:type="character" w:customStyle="1" w:styleId="FooterChar">
    <w:name w:val="Footer Char"/>
    <w:basedOn w:val="DefaultParagraphFont"/>
    <w:link w:val="Footer"/>
    <w:uiPriority w:val="99"/>
    <w:rsid w:val="008B670D"/>
    <w:rPr>
      <w:rFonts w:ascii="Times New Roman" w:eastAsia="Times New Roman" w:hAnsi="Times New Roman" w:cs="Times New Roman"/>
    </w:rPr>
  </w:style>
  <w:style w:type="character" w:styleId="LineNumber">
    <w:name w:val="line number"/>
    <w:basedOn w:val="DefaultParagraphFont"/>
    <w:uiPriority w:val="99"/>
    <w:semiHidden/>
    <w:unhideWhenUsed/>
    <w:rsid w:val="001A1672"/>
  </w:style>
  <w:style w:type="paragraph" w:styleId="Revision">
    <w:name w:val="Revision"/>
    <w:hidden/>
    <w:uiPriority w:val="99"/>
    <w:semiHidden/>
    <w:rsid w:val="005C5AF2"/>
    <w:pPr>
      <w:spacing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C5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069">
      <w:bodyDiv w:val="1"/>
      <w:marLeft w:val="0"/>
      <w:marRight w:val="0"/>
      <w:marTop w:val="0"/>
      <w:marBottom w:val="0"/>
      <w:divBdr>
        <w:top w:val="none" w:sz="0" w:space="0" w:color="auto"/>
        <w:left w:val="none" w:sz="0" w:space="0" w:color="auto"/>
        <w:bottom w:val="none" w:sz="0" w:space="0" w:color="auto"/>
        <w:right w:val="none" w:sz="0" w:space="0" w:color="auto"/>
      </w:divBdr>
    </w:div>
    <w:div w:id="628557555">
      <w:bodyDiv w:val="1"/>
      <w:marLeft w:val="0"/>
      <w:marRight w:val="0"/>
      <w:marTop w:val="0"/>
      <w:marBottom w:val="0"/>
      <w:divBdr>
        <w:top w:val="none" w:sz="0" w:space="0" w:color="auto"/>
        <w:left w:val="none" w:sz="0" w:space="0" w:color="auto"/>
        <w:bottom w:val="none" w:sz="0" w:space="0" w:color="auto"/>
        <w:right w:val="none" w:sz="0" w:space="0" w:color="auto"/>
      </w:divBdr>
    </w:div>
    <w:div w:id="694575429">
      <w:bodyDiv w:val="1"/>
      <w:marLeft w:val="0"/>
      <w:marRight w:val="0"/>
      <w:marTop w:val="0"/>
      <w:marBottom w:val="0"/>
      <w:divBdr>
        <w:top w:val="none" w:sz="0" w:space="0" w:color="auto"/>
        <w:left w:val="none" w:sz="0" w:space="0" w:color="auto"/>
        <w:bottom w:val="none" w:sz="0" w:space="0" w:color="auto"/>
        <w:right w:val="none" w:sz="0" w:space="0" w:color="auto"/>
      </w:divBdr>
    </w:div>
    <w:div w:id="787310277">
      <w:bodyDiv w:val="1"/>
      <w:marLeft w:val="0"/>
      <w:marRight w:val="0"/>
      <w:marTop w:val="0"/>
      <w:marBottom w:val="0"/>
      <w:divBdr>
        <w:top w:val="none" w:sz="0" w:space="0" w:color="auto"/>
        <w:left w:val="none" w:sz="0" w:space="0" w:color="auto"/>
        <w:bottom w:val="none" w:sz="0" w:space="0" w:color="auto"/>
        <w:right w:val="none" w:sz="0" w:space="0" w:color="auto"/>
      </w:divBdr>
    </w:div>
    <w:div w:id="866910298">
      <w:bodyDiv w:val="1"/>
      <w:marLeft w:val="0"/>
      <w:marRight w:val="0"/>
      <w:marTop w:val="0"/>
      <w:marBottom w:val="0"/>
      <w:divBdr>
        <w:top w:val="none" w:sz="0" w:space="0" w:color="auto"/>
        <w:left w:val="none" w:sz="0" w:space="0" w:color="auto"/>
        <w:bottom w:val="none" w:sz="0" w:space="0" w:color="auto"/>
        <w:right w:val="none" w:sz="0" w:space="0" w:color="auto"/>
      </w:divBdr>
    </w:div>
    <w:div w:id="873150166">
      <w:bodyDiv w:val="1"/>
      <w:marLeft w:val="0"/>
      <w:marRight w:val="0"/>
      <w:marTop w:val="0"/>
      <w:marBottom w:val="0"/>
      <w:divBdr>
        <w:top w:val="none" w:sz="0" w:space="0" w:color="auto"/>
        <w:left w:val="none" w:sz="0" w:space="0" w:color="auto"/>
        <w:bottom w:val="none" w:sz="0" w:space="0" w:color="auto"/>
        <w:right w:val="none" w:sz="0" w:space="0" w:color="auto"/>
      </w:divBdr>
    </w:div>
    <w:div w:id="1049912467">
      <w:bodyDiv w:val="1"/>
      <w:marLeft w:val="0"/>
      <w:marRight w:val="0"/>
      <w:marTop w:val="0"/>
      <w:marBottom w:val="0"/>
      <w:divBdr>
        <w:top w:val="none" w:sz="0" w:space="0" w:color="auto"/>
        <w:left w:val="none" w:sz="0" w:space="0" w:color="auto"/>
        <w:bottom w:val="none" w:sz="0" w:space="0" w:color="auto"/>
        <w:right w:val="none" w:sz="0" w:space="0" w:color="auto"/>
      </w:divBdr>
    </w:div>
    <w:div w:id="1346446954">
      <w:bodyDiv w:val="1"/>
      <w:marLeft w:val="0"/>
      <w:marRight w:val="0"/>
      <w:marTop w:val="0"/>
      <w:marBottom w:val="0"/>
      <w:divBdr>
        <w:top w:val="none" w:sz="0" w:space="0" w:color="auto"/>
        <w:left w:val="none" w:sz="0" w:space="0" w:color="auto"/>
        <w:bottom w:val="none" w:sz="0" w:space="0" w:color="auto"/>
        <w:right w:val="none" w:sz="0" w:space="0" w:color="auto"/>
      </w:divBdr>
    </w:div>
    <w:div w:id="1361205477">
      <w:bodyDiv w:val="1"/>
      <w:marLeft w:val="0"/>
      <w:marRight w:val="0"/>
      <w:marTop w:val="0"/>
      <w:marBottom w:val="0"/>
      <w:divBdr>
        <w:top w:val="none" w:sz="0" w:space="0" w:color="auto"/>
        <w:left w:val="none" w:sz="0" w:space="0" w:color="auto"/>
        <w:bottom w:val="none" w:sz="0" w:space="0" w:color="auto"/>
        <w:right w:val="none" w:sz="0" w:space="0" w:color="auto"/>
      </w:divBdr>
      <w:divsChild>
        <w:div w:id="388115755">
          <w:marLeft w:val="0"/>
          <w:marRight w:val="0"/>
          <w:marTop w:val="0"/>
          <w:marBottom w:val="0"/>
          <w:divBdr>
            <w:top w:val="none" w:sz="0" w:space="0" w:color="auto"/>
            <w:left w:val="none" w:sz="0" w:space="0" w:color="auto"/>
            <w:bottom w:val="none" w:sz="0" w:space="0" w:color="auto"/>
            <w:right w:val="none" w:sz="0" w:space="0" w:color="auto"/>
          </w:divBdr>
          <w:divsChild>
            <w:div w:id="322780698">
              <w:marLeft w:val="0"/>
              <w:marRight w:val="0"/>
              <w:marTop w:val="0"/>
              <w:marBottom w:val="0"/>
              <w:divBdr>
                <w:top w:val="none" w:sz="0" w:space="0" w:color="auto"/>
                <w:left w:val="none" w:sz="0" w:space="0" w:color="auto"/>
                <w:bottom w:val="none" w:sz="0" w:space="0" w:color="auto"/>
                <w:right w:val="none" w:sz="0" w:space="0" w:color="auto"/>
              </w:divBdr>
              <w:divsChild>
                <w:div w:id="3366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6002">
      <w:bodyDiv w:val="1"/>
      <w:marLeft w:val="0"/>
      <w:marRight w:val="0"/>
      <w:marTop w:val="0"/>
      <w:marBottom w:val="0"/>
      <w:divBdr>
        <w:top w:val="none" w:sz="0" w:space="0" w:color="auto"/>
        <w:left w:val="none" w:sz="0" w:space="0" w:color="auto"/>
        <w:bottom w:val="none" w:sz="0" w:space="0" w:color="auto"/>
        <w:right w:val="none" w:sz="0" w:space="0" w:color="auto"/>
      </w:divBdr>
    </w:div>
    <w:div w:id="1459102276">
      <w:bodyDiv w:val="1"/>
      <w:marLeft w:val="0"/>
      <w:marRight w:val="0"/>
      <w:marTop w:val="0"/>
      <w:marBottom w:val="0"/>
      <w:divBdr>
        <w:top w:val="none" w:sz="0" w:space="0" w:color="auto"/>
        <w:left w:val="none" w:sz="0" w:space="0" w:color="auto"/>
        <w:bottom w:val="none" w:sz="0" w:space="0" w:color="auto"/>
        <w:right w:val="none" w:sz="0" w:space="0" w:color="auto"/>
      </w:divBdr>
      <w:divsChild>
        <w:div w:id="1747531915">
          <w:marLeft w:val="0"/>
          <w:marRight w:val="0"/>
          <w:marTop w:val="0"/>
          <w:marBottom w:val="0"/>
          <w:divBdr>
            <w:top w:val="none" w:sz="0" w:space="0" w:color="auto"/>
            <w:left w:val="none" w:sz="0" w:space="0" w:color="auto"/>
            <w:bottom w:val="none" w:sz="0" w:space="0" w:color="auto"/>
            <w:right w:val="none" w:sz="0" w:space="0" w:color="auto"/>
          </w:divBdr>
        </w:div>
      </w:divsChild>
    </w:div>
    <w:div w:id="1923371291">
      <w:bodyDiv w:val="1"/>
      <w:marLeft w:val="0"/>
      <w:marRight w:val="0"/>
      <w:marTop w:val="0"/>
      <w:marBottom w:val="0"/>
      <w:divBdr>
        <w:top w:val="none" w:sz="0" w:space="0" w:color="auto"/>
        <w:left w:val="none" w:sz="0" w:space="0" w:color="auto"/>
        <w:bottom w:val="none" w:sz="0" w:space="0" w:color="auto"/>
        <w:right w:val="none" w:sz="0" w:space="0" w:color="auto"/>
      </w:divBdr>
      <w:divsChild>
        <w:div w:id="1279989571">
          <w:marLeft w:val="0"/>
          <w:marRight w:val="0"/>
          <w:marTop w:val="0"/>
          <w:marBottom w:val="0"/>
          <w:divBdr>
            <w:top w:val="none" w:sz="0" w:space="0" w:color="auto"/>
            <w:left w:val="none" w:sz="0" w:space="0" w:color="auto"/>
            <w:bottom w:val="none" w:sz="0" w:space="0" w:color="auto"/>
            <w:right w:val="none" w:sz="0" w:space="0" w:color="auto"/>
          </w:divBdr>
          <w:divsChild>
            <w:div w:id="417556536">
              <w:marLeft w:val="0"/>
              <w:marRight w:val="0"/>
              <w:marTop w:val="0"/>
              <w:marBottom w:val="0"/>
              <w:divBdr>
                <w:top w:val="none" w:sz="0" w:space="0" w:color="auto"/>
                <w:left w:val="none" w:sz="0" w:space="0" w:color="auto"/>
                <w:bottom w:val="none" w:sz="0" w:space="0" w:color="auto"/>
                <w:right w:val="none" w:sz="0" w:space="0" w:color="auto"/>
              </w:divBdr>
              <w:divsChild>
                <w:div w:id="1775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3031">
      <w:bodyDiv w:val="1"/>
      <w:marLeft w:val="0"/>
      <w:marRight w:val="0"/>
      <w:marTop w:val="0"/>
      <w:marBottom w:val="0"/>
      <w:divBdr>
        <w:top w:val="none" w:sz="0" w:space="0" w:color="auto"/>
        <w:left w:val="none" w:sz="0" w:space="0" w:color="auto"/>
        <w:bottom w:val="none" w:sz="0" w:space="0" w:color="auto"/>
        <w:right w:val="none" w:sz="0" w:space="0" w:color="auto"/>
      </w:divBdr>
    </w:div>
    <w:div w:id="21126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dla.mil/HQ/InformationOperations/Offers/Services/TrainingandReference/FLISPr%20ocedures.aspx" TargetMode="External"/><Relationship Id="rId4" Type="http://schemas.openxmlformats.org/officeDocument/2006/relationships/styles" Target="styles.xml"/><Relationship Id="rId9" Type="http://schemas.openxmlformats.org/officeDocument/2006/relationships/hyperlink" Target="https://dodprocurementtoolbox.com/site-pages/gfp-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FD81B63761EF4FBB5E313713E638F8" ma:contentTypeVersion="8" ma:contentTypeDescription="Create a new document." ma:contentTypeScope="" ma:versionID="0da5d1ca947c52d235391f0e62ae6a12">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54ACE9-C86E-41F9-B1E4-8B4F8B2B9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7F1654-BCD6-492C-8F04-F6CCE3DBEB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3EFE72-0908-4A7D-A0DF-D4E198C9E3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8</cp:revision>
  <cp:lastPrinted>2022-03-24T17:22:00Z</cp:lastPrinted>
  <dcterms:created xsi:type="dcterms:W3CDTF">2023-11-30T19:11:00Z</dcterms:created>
  <dcterms:modified xsi:type="dcterms:W3CDTF">2023-12-19T19:43:00Z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0x010100CEFD81B63761EF4FBB5E313713E638F8</vt:lpwstr>
  </property>
</Properties>
</file>