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AFD4F" w14:textId="094EC508" w:rsidR="00DD5C76" w:rsidRPr="0074630C" w:rsidRDefault="00BD6415" w:rsidP="00D53BE3">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b/>
          <w:sz w:val="24"/>
          <w:szCs w:val="24"/>
        </w:rPr>
      </w:pPr>
      <w:bookmarkStart w:id="0" w:name="_GoBack"/>
      <w:bookmarkEnd w:id="0"/>
      <w:r w:rsidRPr="0074630C">
        <w:rPr>
          <w:rFonts w:ascii="Century Schoolbook" w:eastAsia="Calibri" w:hAnsi="Century Schoolbook" w:cs="Times New Roman"/>
          <w:b/>
          <w:sz w:val="24"/>
          <w:szCs w:val="24"/>
        </w:rPr>
        <w:t>DFARS Case 20</w:t>
      </w:r>
      <w:r w:rsidR="0074630C" w:rsidRPr="0074630C">
        <w:rPr>
          <w:rFonts w:ascii="Century Schoolbook" w:eastAsia="Calibri" w:hAnsi="Century Schoolbook" w:cs="Times New Roman"/>
          <w:b/>
          <w:sz w:val="24"/>
          <w:szCs w:val="24"/>
        </w:rPr>
        <w:t>20</w:t>
      </w:r>
      <w:r w:rsidRPr="0074630C">
        <w:rPr>
          <w:rFonts w:ascii="Century Schoolbook" w:eastAsia="Calibri" w:hAnsi="Century Schoolbook" w:cs="Times New Roman"/>
          <w:b/>
          <w:sz w:val="24"/>
          <w:szCs w:val="24"/>
        </w:rPr>
        <w:t>-D0</w:t>
      </w:r>
      <w:r w:rsidR="0074630C" w:rsidRPr="0074630C">
        <w:rPr>
          <w:rFonts w:ascii="Century Schoolbook" w:eastAsia="Calibri" w:hAnsi="Century Schoolbook" w:cs="Times New Roman"/>
          <w:b/>
          <w:sz w:val="24"/>
          <w:szCs w:val="24"/>
        </w:rPr>
        <w:t>33</w:t>
      </w:r>
    </w:p>
    <w:p w14:paraId="24A48BD2" w14:textId="209D11FF" w:rsidR="0074630C" w:rsidRPr="0074630C" w:rsidRDefault="00DD5C76" w:rsidP="00D53BE3">
      <w:pPr>
        <w:tabs>
          <w:tab w:val="left" w:pos="360"/>
          <w:tab w:val="left" w:pos="806"/>
          <w:tab w:val="left" w:pos="1210"/>
          <w:tab w:val="left" w:pos="1656"/>
          <w:tab w:val="left" w:pos="2131"/>
          <w:tab w:val="left" w:pos="2520"/>
          <w:tab w:val="left" w:pos="2820"/>
        </w:tabs>
        <w:spacing w:after="0" w:line="240" w:lineRule="exact"/>
        <w:jc w:val="center"/>
        <w:rPr>
          <w:rFonts w:ascii="Century Schoolbook" w:eastAsia="Calibri" w:hAnsi="Century Schoolbook" w:cs="Times New Roman"/>
          <w:b/>
          <w:sz w:val="24"/>
          <w:szCs w:val="24"/>
        </w:rPr>
      </w:pPr>
      <w:r w:rsidRPr="0074630C">
        <w:rPr>
          <w:rFonts w:ascii="Century Schoolbook" w:eastAsia="Calibri" w:hAnsi="Century Schoolbook" w:cs="Times New Roman"/>
          <w:b/>
          <w:sz w:val="24"/>
          <w:szCs w:val="24"/>
        </w:rPr>
        <w:t xml:space="preserve">(S) </w:t>
      </w:r>
      <w:r w:rsidR="0074630C" w:rsidRPr="0074630C">
        <w:rPr>
          <w:rFonts w:ascii="Century Schoolbook" w:eastAsia="Calibri" w:hAnsi="Century Schoolbook" w:cs="Times New Roman"/>
          <w:b/>
          <w:sz w:val="24"/>
          <w:szCs w:val="24"/>
        </w:rPr>
        <w:t>Commercial Item Determinations</w:t>
      </w:r>
    </w:p>
    <w:p w14:paraId="2E648156" w14:textId="5FD24D06" w:rsidR="00BD6415" w:rsidRPr="0074630C" w:rsidRDefault="0001633D" w:rsidP="00D53BE3">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b/>
          <w:sz w:val="24"/>
          <w:szCs w:val="24"/>
        </w:rPr>
      </w:pPr>
      <w:r w:rsidRPr="0074630C">
        <w:rPr>
          <w:rFonts w:ascii="Century Schoolbook" w:eastAsia="Calibri" w:hAnsi="Century Schoolbook" w:cs="Times New Roman"/>
          <w:b/>
          <w:sz w:val="24"/>
          <w:szCs w:val="24"/>
        </w:rPr>
        <w:t>Final</w:t>
      </w:r>
      <w:r w:rsidR="00DD5C76" w:rsidRPr="0074630C">
        <w:rPr>
          <w:rFonts w:ascii="Century Schoolbook" w:eastAsia="Calibri" w:hAnsi="Century Schoolbook" w:cs="Times New Roman"/>
          <w:b/>
          <w:sz w:val="24"/>
          <w:szCs w:val="24"/>
        </w:rPr>
        <w:t xml:space="preserve"> </w:t>
      </w:r>
      <w:r w:rsidR="00BD6415" w:rsidRPr="0074630C">
        <w:rPr>
          <w:rFonts w:ascii="Century Schoolbook" w:eastAsia="Calibri" w:hAnsi="Century Schoolbook" w:cs="Times New Roman"/>
          <w:b/>
          <w:sz w:val="24"/>
          <w:szCs w:val="24"/>
        </w:rPr>
        <w:t>Rule</w:t>
      </w:r>
    </w:p>
    <w:p w14:paraId="45582BB8" w14:textId="2FD226DD" w:rsidR="00773CE6" w:rsidRDefault="00773CE6" w:rsidP="00D53BE3">
      <w:pPr>
        <w:tabs>
          <w:tab w:val="left" w:pos="360"/>
          <w:tab w:val="left" w:pos="806"/>
          <w:tab w:val="left" w:pos="1210"/>
          <w:tab w:val="left" w:pos="1656"/>
          <w:tab w:val="left" w:pos="2131"/>
          <w:tab w:val="left" w:pos="2520"/>
          <w:tab w:val="left" w:pos="2820"/>
        </w:tabs>
        <w:spacing w:after="0" w:line="240" w:lineRule="exact"/>
        <w:rPr>
          <w:rFonts w:ascii="Century Schoolbook" w:eastAsia="Calibri" w:hAnsi="Century Schoolbook" w:cs="Times New Roman"/>
          <w:b/>
          <w:sz w:val="24"/>
          <w:szCs w:val="24"/>
        </w:rPr>
      </w:pPr>
    </w:p>
    <w:p w14:paraId="2C29B38B" w14:textId="77777777" w:rsidR="00D53BE3" w:rsidRDefault="00D53BE3" w:rsidP="00D53BE3">
      <w:pPr>
        <w:tabs>
          <w:tab w:val="left" w:pos="360"/>
          <w:tab w:val="left" w:pos="806"/>
          <w:tab w:val="left" w:pos="1210"/>
          <w:tab w:val="left" w:pos="1656"/>
          <w:tab w:val="left" w:pos="2131"/>
          <w:tab w:val="left" w:pos="2520"/>
          <w:tab w:val="left" w:pos="2820"/>
        </w:tabs>
        <w:spacing w:after="0" w:line="240" w:lineRule="exact"/>
        <w:rPr>
          <w:rFonts w:ascii="Century Schoolbook" w:eastAsia="Calibri" w:hAnsi="Century Schoolbook" w:cs="Times New Roman"/>
          <w:b/>
          <w:sz w:val="24"/>
          <w:szCs w:val="24"/>
        </w:rPr>
      </w:pPr>
    </w:p>
    <w:p w14:paraId="2F535DC9" w14:textId="35ED1710" w:rsidR="00F046CD" w:rsidRDefault="00F046CD" w:rsidP="00D53BE3">
      <w:pPr>
        <w:tabs>
          <w:tab w:val="left" w:pos="360"/>
          <w:tab w:val="left" w:pos="806"/>
          <w:tab w:val="left" w:pos="1210"/>
          <w:tab w:val="left" w:pos="1656"/>
          <w:tab w:val="left" w:pos="2131"/>
          <w:tab w:val="left" w:pos="2520"/>
          <w:tab w:val="left" w:pos="2820"/>
        </w:tabs>
        <w:spacing w:after="0" w:line="240" w:lineRule="exact"/>
        <w:jc w:val="center"/>
        <w:rPr>
          <w:rFonts w:ascii="Century Schoolbook" w:eastAsia="Calibri" w:hAnsi="Century Schoolbook" w:cs="Times New Roman"/>
          <w:b/>
          <w:sz w:val="24"/>
          <w:szCs w:val="24"/>
        </w:rPr>
      </w:pPr>
      <w:r>
        <w:rPr>
          <w:rFonts w:ascii="Century Schoolbook" w:eastAsia="Calibri" w:hAnsi="Century Schoolbook" w:cs="Times New Roman"/>
          <w:b/>
          <w:sz w:val="24"/>
          <w:szCs w:val="24"/>
        </w:rPr>
        <w:t>PART 212—ACQUISITION OF COMMERCIAL ITEMS</w:t>
      </w:r>
    </w:p>
    <w:p w14:paraId="639A9BD9" w14:textId="3D59C845" w:rsidR="00F046CD" w:rsidRDefault="00F046CD" w:rsidP="00D53BE3">
      <w:pPr>
        <w:tabs>
          <w:tab w:val="left" w:pos="360"/>
          <w:tab w:val="left" w:pos="806"/>
          <w:tab w:val="left" w:pos="1210"/>
          <w:tab w:val="left" w:pos="1656"/>
          <w:tab w:val="left" w:pos="2131"/>
          <w:tab w:val="left" w:pos="2520"/>
          <w:tab w:val="left" w:pos="2820"/>
        </w:tabs>
        <w:spacing w:after="0" w:line="240" w:lineRule="exact"/>
        <w:rPr>
          <w:rFonts w:ascii="Century Schoolbook" w:eastAsia="Calibri" w:hAnsi="Century Schoolbook" w:cs="Times New Roman"/>
          <w:b/>
          <w:sz w:val="24"/>
          <w:szCs w:val="24"/>
        </w:rPr>
      </w:pPr>
    </w:p>
    <w:p w14:paraId="3864E33F" w14:textId="02E0A175" w:rsidR="00F046CD" w:rsidRPr="0074630C" w:rsidRDefault="00F046CD" w:rsidP="00D53BE3">
      <w:pPr>
        <w:tabs>
          <w:tab w:val="left" w:pos="360"/>
          <w:tab w:val="left" w:pos="806"/>
          <w:tab w:val="left" w:pos="1210"/>
          <w:tab w:val="left" w:pos="1656"/>
          <w:tab w:val="left" w:pos="2131"/>
          <w:tab w:val="left" w:pos="2520"/>
          <w:tab w:val="left" w:pos="2820"/>
        </w:tabs>
        <w:spacing w:after="0" w:line="240" w:lineRule="exact"/>
        <w:rPr>
          <w:rFonts w:ascii="Century Schoolbook" w:eastAsia="Calibri" w:hAnsi="Century Schoolbook" w:cs="Times New Roman"/>
          <w:b/>
          <w:sz w:val="24"/>
          <w:szCs w:val="24"/>
        </w:rPr>
      </w:pPr>
      <w:r>
        <w:rPr>
          <w:rFonts w:ascii="Century Schoolbook" w:eastAsia="Calibri" w:hAnsi="Century Schoolbook" w:cs="Times New Roman"/>
          <w:b/>
          <w:sz w:val="24"/>
          <w:szCs w:val="24"/>
        </w:rPr>
        <w:t>* * * * *</w:t>
      </w:r>
    </w:p>
    <w:p w14:paraId="3726B6EC" w14:textId="77777777" w:rsidR="00E7786D" w:rsidRPr="0074630C" w:rsidRDefault="00E7786D" w:rsidP="00D53BE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
          <w:sz w:val="24"/>
          <w:szCs w:val="24"/>
        </w:rPr>
      </w:pPr>
    </w:p>
    <w:p w14:paraId="2EDCD75D" w14:textId="368A8FEF" w:rsidR="00DD5C76" w:rsidRDefault="00DD5C76">
      <w:pPr>
        <w:pStyle w:val="DFARS"/>
        <w:jc w:val="center"/>
        <w:rPr>
          <w:b/>
          <w:caps/>
          <w:szCs w:val="24"/>
        </w:rPr>
      </w:pPr>
      <w:bookmarkStart w:id="1" w:name="BM212_2"/>
      <w:r w:rsidRPr="0074630C">
        <w:rPr>
          <w:b/>
          <w:caps/>
          <w:szCs w:val="24"/>
        </w:rPr>
        <w:t xml:space="preserve">SUbpart 212.1—ACQUISITION OF COMMERCIAL ITEMS </w:t>
      </w:r>
      <w:r w:rsidR="005212EF">
        <w:rPr>
          <w:b/>
          <w:caps/>
          <w:szCs w:val="24"/>
        </w:rPr>
        <w:t>–</w:t>
      </w:r>
      <w:r w:rsidRPr="0074630C">
        <w:rPr>
          <w:b/>
          <w:caps/>
          <w:szCs w:val="24"/>
        </w:rPr>
        <w:t xml:space="preserve"> GENERAL</w:t>
      </w:r>
    </w:p>
    <w:bookmarkEnd w:id="1"/>
    <w:p w14:paraId="2239F8F8" w14:textId="77777777" w:rsidR="00DD5C76" w:rsidRPr="0074630C" w:rsidRDefault="00DD5C76">
      <w:pPr>
        <w:pStyle w:val="DFARS"/>
        <w:rPr>
          <w:rFonts w:cs="Arial"/>
          <w:szCs w:val="24"/>
        </w:rPr>
      </w:pPr>
    </w:p>
    <w:p w14:paraId="4A471474" w14:textId="0A7353AF" w:rsidR="00617A5C" w:rsidRPr="0074630C" w:rsidRDefault="00DD5C76">
      <w:pPr>
        <w:pStyle w:val="DFARS"/>
        <w:rPr>
          <w:rFonts w:cs="Arial"/>
          <w:b/>
          <w:strike/>
          <w:szCs w:val="24"/>
        </w:rPr>
      </w:pPr>
      <w:proofErr w:type="gramStart"/>
      <w:r w:rsidRPr="0074630C">
        <w:rPr>
          <w:rFonts w:cs="Courier New"/>
          <w:b/>
          <w:szCs w:val="24"/>
        </w:rPr>
        <w:t>212.102  Applicability</w:t>
      </w:r>
      <w:proofErr w:type="gramEnd"/>
      <w:r w:rsidRPr="0074630C">
        <w:rPr>
          <w:rFonts w:cs="Courier New"/>
          <w:b/>
          <w:szCs w:val="24"/>
        </w:rPr>
        <w:t>.</w:t>
      </w:r>
    </w:p>
    <w:p w14:paraId="1B751C7E" w14:textId="77777777" w:rsidR="00DD5C76" w:rsidRPr="0074630C" w:rsidRDefault="00DD5C76">
      <w:pPr>
        <w:pStyle w:val="DFARS"/>
        <w:rPr>
          <w:rFonts w:cs="Courier New"/>
          <w:b/>
          <w:szCs w:val="24"/>
        </w:rPr>
      </w:pPr>
    </w:p>
    <w:p w14:paraId="76F9B381" w14:textId="0FC487C1" w:rsidR="00A03245" w:rsidRPr="0074630C" w:rsidRDefault="00DD5C76">
      <w:pPr>
        <w:pStyle w:val="DFARS"/>
        <w:rPr>
          <w:rFonts w:cs="Courier New"/>
          <w:b/>
          <w:szCs w:val="24"/>
        </w:rPr>
      </w:pPr>
      <w:r w:rsidRPr="0074630C">
        <w:rPr>
          <w:rFonts w:cs="Courier New"/>
          <w:szCs w:val="24"/>
        </w:rPr>
        <w:tab/>
        <w:t>(a)(</w:t>
      </w:r>
      <w:proofErr w:type="spellStart"/>
      <w:r w:rsidRPr="0074630C">
        <w:rPr>
          <w:rFonts w:cs="Courier New"/>
          <w:szCs w:val="24"/>
        </w:rPr>
        <w:t>i</w:t>
      </w:r>
      <w:proofErr w:type="spellEnd"/>
      <w:proofErr w:type="gramStart"/>
      <w:r w:rsidRPr="0074630C">
        <w:rPr>
          <w:rFonts w:cs="Courier New"/>
          <w:szCs w:val="24"/>
        </w:rPr>
        <w:t xml:space="preserve">)  </w:t>
      </w:r>
      <w:r w:rsidR="00A03245" w:rsidRPr="0074630C">
        <w:rPr>
          <w:rFonts w:cs="Courier New"/>
          <w:b/>
          <w:szCs w:val="24"/>
        </w:rPr>
        <w:t>[</w:t>
      </w:r>
      <w:proofErr w:type="gramEnd"/>
      <w:r w:rsidR="00A03245" w:rsidRPr="0074630C">
        <w:rPr>
          <w:rFonts w:cs="Courier New"/>
          <w:b/>
          <w:i/>
          <w:szCs w:val="24"/>
        </w:rPr>
        <w:t xml:space="preserve">Use of FAR part 12 procedures.  </w:t>
      </w:r>
      <w:r w:rsidR="00A03245" w:rsidRPr="0074630C">
        <w:rPr>
          <w:rFonts w:cs="Courier New"/>
          <w:b/>
          <w:szCs w:val="24"/>
        </w:rPr>
        <w:t>Use of FAR part 12 procedures</w:t>
      </w:r>
      <w:r w:rsidR="008821AC" w:rsidRPr="0074630C">
        <w:rPr>
          <w:rFonts w:cs="Courier New"/>
          <w:b/>
          <w:szCs w:val="24"/>
        </w:rPr>
        <w:t xml:space="preserve"> is</w:t>
      </w:r>
      <w:r w:rsidR="00A03245" w:rsidRPr="0074630C">
        <w:rPr>
          <w:rFonts w:cs="Courier New"/>
          <w:b/>
          <w:szCs w:val="24"/>
        </w:rPr>
        <w:t xml:space="preserve"> based on—</w:t>
      </w:r>
    </w:p>
    <w:p w14:paraId="404B2DAB" w14:textId="77777777" w:rsidR="00D53102" w:rsidRPr="0074630C" w:rsidRDefault="00D53102">
      <w:pPr>
        <w:pStyle w:val="DFARS"/>
        <w:rPr>
          <w:rFonts w:cs="Courier New"/>
          <w:b/>
          <w:szCs w:val="24"/>
        </w:rPr>
      </w:pPr>
    </w:p>
    <w:p w14:paraId="17FAE177" w14:textId="617B59CE" w:rsidR="00A03245" w:rsidRPr="0074630C" w:rsidRDefault="00A03245">
      <w:pPr>
        <w:pStyle w:val="DFARS"/>
        <w:rPr>
          <w:rFonts w:cs="Courier New"/>
          <w:b/>
          <w:szCs w:val="24"/>
        </w:rPr>
      </w:pPr>
      <w:r w:rsidRPr="0074630C">
        <w:rPr>
          <w:rFonts w:cs="Courier New"/>
          <w:b/>
          <w:szCs w:val="24"/>
        </w:rPr>
        <w:tab/>
      </w:r>
      <w:r w:rsidRPr="0074630C">
        <w:rPr>
          <w:rFonts w:cs="Courier New"/>
          <w:b/>
          <w:szCs w:val="24"/>
        </w:rPr>
        <w:tab/>
      </w:r>
      <w:r w:rsidR="00EE1B2A">
        <w:rPr>
          <w:rFonts w:cs="Courier New"/>
          <w:b/>
          <w:szCs w:val="24"/>
        </w:rPr>
        <w:tab/>
      </w:r>
      <w:r w:rsidRPr="0074630C">
        <w:rPr>
          <w:rFonts w:cs="Courier New"/>
          <w:b/>
          <w:szCs w:val="24"/>
        </w:rPr>
        <w:t>(A)  A determination that an item is a commercial item</w:t>
      </w:r>
      <w:r w:rsidR="008F0E07" w:rsidRPr="0074630C">
        <w:rPr>
          <w:rFonts w:cs="Courier New"/>
          <w:b/>
          <w:szCs w:val="24"/>
        </w:rPr>
        <w:t xml:space="preserve"> (</w:t>
      </w:r>
      <w:r w:rsidR="00BE7E70" w:rsidRPr="0074630C">
        <w:rPr>
          <w:rFonts w:cs="Courier New"/>
          <w:b/>
          <w:szCs w:val="24"/>
        </w:rPr>
        <w:t>see paragraph</w:t>
      </w:r>
      <w:r w:rsidR="008F0E07" w:rsidRPr="0074630C">
        <w:rPr>
          <w:rFonts w:cs="Courier New"/>
          <w:b/>
          <w:szCs w:val="24"/>
        </w:rPr>
        <w:t xml:space="preserve"> (a)(</w:t>
      </w:r>
      <w:r w:rsidR="00CB2F24">
        <w:rPr>
          <w:rFonts w:cs="Courier New"/>
          <w:b/>
          <w:szCs w:val="24"/>
        </w:rPr>
        <w:t>i</w:t>
      </w:r>
      <w:r w:rsidR="008F0E07" w:rsidRPr="0074630C">
        <w:rPr>
          <w:rFonts w:cs="Courier New"/>
          <w:b/>
          <w:szCs w:val="24"/>
        </w:rPr>
        <w:t xml:space="preserve">ii) </w:t>
      </w:r>
      <w:r w:rsidR="00BE7E70" w:rsidRPr="0074630C">
        <w:rPr>
          <w:rFonts w:cs="Courier New"/>
          <w:b/>
          <w:szCs w:val="24"/>
        </w:rPr>
        <w:t>of this section</w:t>
      </w:r>
      <w:r w:rsidR="007E6877">
        <w:rPr>
          <w:rFonts w:cs="Courier New"/>
          <w:b/>
          <w:szCs w:val="24"/>
        </w:rPr>
        <w:t>)</w:t>
      </w:r>
      <w:r w:rsidRPr="0074630C">
        <w:rPr>
          <w:rFonts w:cs="Courier New"/>
          <w:b/>
          <w:szCs w:val="24"/>
        </w:rPr>
        <w:t>; or</w:t>
      </w:r>
    </w:p>
    <w:p w14:paraId="662087B1" w14:textId="77777777" w:rsidR="00D53102" w:rsidRPr="0074630C" w:rsidRDefault="00D53102">
      <w:pPr>
        <w:pStyle w:val="DFARS"/>
        <w:rPr>
          <w:rFonts w:cs="Courier New"/>
          <w:b/>
          <w:szCs w:val="24"/>
        </w:rPr>
      </w:pPr>
    </w:p>
    <w:p w14:paraId="22904960" w14:textId="5431298C" w:rsidR="00A03245" w:rsidRPr="0074630C" w:rsidRDefault="00A03245">
      <w:pPr>
        <w:pStyle w:val="DFARS"/>
        <w:rPr>
          <w:rFonts w:cs="Courier New"/>
          <w:b/>
          <w:szCs w:val="24"/>
        </w:rPr>
      </w:pPr>
      <w:r w:rsidRPr="0074630C">
        <w:rPr>
          <w:rFonts w:cs="Courier New"/>
          <w:b/>
          <w:szCs w:val="24"/>
        </w:rPr>
        <w:tab/>
      </w:r>
      <w:r w:rsidRPr="0074630C">
        <w:rPr>
          <w:rFonts w:cs="Courier New"/>
          <w:b/>
          <w:szCs w:val="24"/>
        </w:rPr>
        <w:tab/>
      </w:r>
      <w:r w:rsidR="00EE1B2A">
        <w:rPr>
          <w:rFonts w:cs="Courier New"/>
          <w:b/>
          <w:szCs w:val="24"/>
        </w:rPr>
        <w:tab/>
      </w:r>
      <w:r w:rsidRPr="0074630C">
        <w:rPr>
          <w:rFonts w:cs="Courier New"/>
          <w:b/>
          <w:szCs w:val="24"/>
        </w:rPr>
        <w:t xml:space="preserve">(B) </w:t>
      </w:r>
      <w:r w:rsidR="00EE1B2A">
        <w:rPr>
          <w:rFonts w:cs="Courier New"/>
          <w:b/>
          <w:szCs w:val="24"/>
        </w:rPr>
        <w:t xml:space="preserve"> </w:t>
      </w:r>
      <w:r w:rsidRPr="0074630C">
        <w:rPr>
          <w:rFonts w:cs="Courier New"/>
          <w:b/>
          <w:szCs w:val="24"/>
        </w:rPr>
        <w:t xml:space="preserve">Applicability of </w:t>
      </w:r>
      <w:r w:rsidR="00EC52EA">
        <w:rPr>
          <w:rFonts w:cs="Courier New"/>
          <w:b/>
          <w:szCs w:val="24"/>
        </w:rPr>
        <w:t xml:space="preserve">one of </w:t>
      </w:r>
      <w:r w:rsidR="00013E99" w:rsidRPr="0074630C">
        <w:rPr>
          <w:rFonts w:cs="Courier New"/>
          <w:b/>
          <w:szCs w:val="24"/>
        </w:rPr>
        <w:t xml:space="preserve">the following </w:t>
      </w:r>
      <w:r w:rsidRPr="0074630C">
        <w:rPr>
          <w:rFonts w:cs="Courier New"/>
          <w:b/>
          <w:szCs w:val="24"/>
        </w:rPr>
        <w:t>statute</w:t>
      </w:r>
      <w:r w:rsidR="00013E99" w:rsidRPr="0074630C">
        <w:rPr>
          <w:rFonts w:cs="Courier New"/>
          <w:b/>
          <w:szCs w:val="24"/>
        </w:rPr>
        <w:t>s</w:t>
      </w:r>
      <w:r w:rsidRPr="0074630C">
        <w:rPr>
          <w:rFonts w:cs="Courier New"/>
          <w:b/>
          <w:szCs w:val="24"/>
        </w:rPr>
        <w:t xml:space="preserve"> that provide for treatment as a commercial item and use of </w:t>
      </w:r>
      <w:r w:rsidR="00A1192B">
        <w:rPr>
          <w:rFonts w:cs="Courier New"/>
          <w:b/>
          <w:szCs w:val="24"/>
        </w:rPr>
        <w:t xml:space="preserve">FAR </w:t>
      </w:r>
      <w:r w:rsidRPr="0074630C">
        <w:rPr>
          <w:rFonts w:cs="Courier New"/>
          <w:b/>
          <w:szCs w:val="24"/>
        </w:rPr>
        <w:t xml:space="preserve">part 12 procedures, even though the item </w:t>
      </w:r>
      <w:r w:rsidR="008F0E07" w:rsidRPr="0074630C">
        <w:rPr>
          <w:rFonts w:cs="Courier New"/>
          <w:b/>
          <w:szCs w:val="24"/>
        </w:rPr>
        <w:t>may</w:t>
      </w:r>
      <w:r w:rsidRPr="0074630C">
        <w:rPr>
          <w:rFonts w:cs="Courier New"/>
          <w:b/>
          <w:szCs w:val="24"/>
        </w:rPr>
        <w:t xml:space="preserve"> not meet the definition of “</w:t>
      </w:r>
      <w:r w:rsidR="00617A5C" w:rsidRPr="0074630C">
        <w:rPr>
          <w:rFonts w:cs="Courier New"/>
          <w:b/>
          <w:szCs w:val="24"/>
        </w:rPr>
        <w:t>c</w:t>
      </w:r>
      <w:r w:rsidRPr="0074630C">
        <w:rPr>
          <w:rFonts w:cs="Courier New"/>
          <w:b/>
          <w:szCs w:val="24"/>
        </w:rPr>
        <w:t xml:space="preserve">ommercial </w:t>
      </w:r>
      <w:r w:rsidR="008170F1">
        <w:rPr>
          <w:rFonts w:cs="Courier New"/>
          <w:b/>
          <w:szCs w:val="24"/>
        </w:rPr>
        <w:t>product</w:t>
      </w:r>
      <w:r w:rsidRPr="0074630C">
        <w:rPr>
          <w:rFonts w:cs="Courier New"/>
          <w:b/>
          <w:szCs w:val="24"/>
        </w:rPr>
        <w:t>”</w:t>
      </w:r>
      <w:r w:rsidR="00336981">
        <w:rPr>
          <w:rFonts w:cs="Courier New"/>
          <w:b/>
          <w:szCs w:val="24"/>
        </w:rPr>
        <w:t xml:space="preserve"> or “commercial service”</w:t>
      </w:r>
      <w:r w:rsidRPr="0074630C">
        <w:rPr>
          <w:rFonts w:cs="Courier New"/>
          <w:b/>
          <w:szCs w:val="24"/>
        </w:rPr>
        <w:t xml:space="preserve"> at FAR 2.101</w:t>
      </w:r>
      <w:r w:rsidR="009A4BD2" w:rsidRPr="0074630C">
        <w:rPr>
          <w:rFonts w:cs="Courier New"/>
          <w:b/>
          <w:szCs w:val="24"/>
        </w:rPr>
        <w:t xml:space="preserve"> and does not require a commercial item determinatio</w:t>
      </w:r>
      <w:r w:rsidR="008F0E07" w:rsidRPr="0074630C">
        <w:rPr>
          <w:rFonts w:cs="Courier New"/>
          <w:b/>
          <w:szCs w:val="24"/>
        </w:rPr>
        <w:t>n</w:t>
      </w:r>
      <w:r w:rsidR="00D34481">
        <w:rPr>
          <w:rFonts w:cs="Courier New"/>
          <w:b/>
          <w:szCs w:val="24"/>
        </w:rPr>
        <w:t>:</w:t>
      </w:r>
    </w:p>
    <w:p w14:paraId="4CDBB0B6" w14:textId="311399AE" w:rsidR="004F1177" w:rsidRPr="0074630C" w:rsidRDefault="004F1177">
      <w:pPr>
        <w:pStyle w:val="DFARS"/>
        <w:rPr>
          <w:rFonts w:cs="Courier New"/>
          <w:b/>
          <w:i/>
          <w:szCs w:val="24"/>
        </w:rPr>
      </w:pPr>
    </w:p>
    <w:p w14:paraId="23172756" w14:textId="659C6B32" w:rsidR="004F1177" w:rsidRPr="0074630C" w:rsidRDefault="004F1177">
      <w:pPr>
        <w:pStyle w:val="DFARS"/>
        <w:rPr>
          <w:rFonts w:cs="Courier New"/>
          <w:b/>
          <w:szCs w:val="24"/>
        </w:rPr>
      </w:pPr>
      <w:r w:rsidRPr="0074630C">
        <w:rPr>
          <w:rFonts w:cs="Courier New"/>
          <w:b/>
          <w:i/>
          <w:szCs w:val="24"/>
        </w:rPr>
        <w:tab/>
      </w:r>
      <w:r w:rsidRPr="0074630C">
        <w:rPr>
          <w:rFonts w:cs="Courier New"/>
          <w:b/>
          <w:i/>
          <w:szCs w:val="24"/>
        </w:rPr>
        <w:tab/>
      </w:r>
      <w:r w:rsidRPr="0074630C">
        <w:rPr>
          <w:rFonts w:cs="Courier New"/>
          <w:b/>
          <w:i/>
          <w:szCs w:val="24"/>
        </w:rPr>
        <w:tab/>
      </w:r>
      <w:r w:rsidR="00EE1B2A">
        <w:rPr>
          <w:rFonts w:cs="Courier New"/>
          <w:b/>
          <w:i/>
          <w:szCs w:val="24"/>
        </w:rPr>
        <w:tab/>
      </w:r>
      <w:r w:rsidRPr="00D53BE3">
        <w:rPr>
          <w:rFonts w:cs="Courier New"/>
          <w:b/>
          <w:iCs/>
          <w:szCs w:val="24"/>
        </w:rPr>
        <w:t>(</w:t>
      </w:r>
      <w:r w:rsidRPr="004D5E82">
        <w:rPr>
          <w:rFonts w:cs="Courier New"/>
          <w:b/>
          <w:i/>
          <w:szCs w:val="24"/>
        </w:rPr>
        <w:t>1</w:t>
      </w:r>
      <w:r w:rsidRPr="00D53BE3">
        <w:rPr>
          <w:rFonts w:cs="Courier New"/>
          <w:b/>
          <w:iCs/>
          <w:szCs w:val="24"/>
        </w:rPr>
        <w:t>)</w:t>
      </w:r>
      <w:r w:rsidRPr="0074630C">
        <w:rPr>
          <w:rFonts w:cs="Courier New"/>
          <w:b/>
          <w:szCs w:val="24"/>
        </w:rPr>
        <w:t xml:space="preserve"> </w:t>
      </w:r>
      <w:r w:rsidR="00EE1B2A">
        <w:rPr>
          <w:rFonts w:cs="Courier New"/>
          <w:b/>
          <w:szCs w:val="24"/>
        </w:rPr>
        <w:t xml:space="preserve"> </w:t>
      </w:r>
      <w:r w:rsidR="006D6728" w:rsidRPr="0074630C">
        <w:rPr>
          <w:rFonts w:cs="Courier New"/>
          <w:b/>
          <w:szCs w:val="24"/>
        </w:rPr>
        <w:t xml:space="preserve">41 U.S.C. 1903 - </w:t>
      </w:r>
      <w:r w:rsidRPr="0074630C">
        <w:rPr>
          <w:rFonts w:cs="Courier New"/>
          <w:b/>
          <w:szCs w:val="24"/>
        </w:rPr>
        <w:t xml:space="preserve">Supplies or services to be used to facilitate defense against or recovery from </w:t>
      </w:r>
      <w:r w:rsidR="006D6728" w:rsidRPr="0074630C">
        <w:rPr>
          <w:rFonts w:cs="Courier New"/>
          <w:b/>
          <w:szCs w:val="24"/>
        </w:rPr>
        <w:t xml:space="preserve">cyber, </w:t>
      </w:r>
      <w:r w:rsidRPr="0074630C">
        <w:rPr>
          <w:rFonts w:cs="Courier New"/>
          <w:b/>
          <w:szCs w:val="24"/>
        </w:rPr>
        <w:t>nuclear, biological, chemical, or radiological attack pursuant to FAR 12.102(f)</w:t>
      </w:r>
      <w:r w:rsidR="00D34481">
        <w:rPr>
          <w:rFonts w:cs="Courier New"/>
          <w:b/>
          <w:szCs w:val="24"/>
        </w:rPr>
        <w:t>.</w:t>
      </w:r>
    </w:p>
    <w:p w14:paraId="5653A4F7" w14:textId="77777777" w:rsidR="006A566A" w:rsidRPr="0074630C" w:rsidRDefault="006A566A">
      <w:pPr>
        <w:pStyle w:val="DFARS"/>
        <w:rPr>
          <w:rFonts w:cs="Courier New"/>
          <w:b/>
          <w:szCs w:val="24"/>
        </w:rPr>
      </w:pPr>
    </w:p>
    <w:p w14:paraId="6D646305" w14:textId="0FE30E1A" w:rsidR="00C15D38" w:rsidRPr="0074630C" w:rsidRDefault="004F1177">
      <w:pPr>
        <w:pStyle w:val="DFARS"/>
        <w:rPr>
          <w:b/>
          <w:bCs/>
          <w:strike/>
        </w:rPr>
      </w:pPr>
      <w:r w:rsidRPr="0074630C">
        <w:rPr>
          <w:rFonts w:cs="Courier New"/>
          <w:b/>
          <w:i/>
          <w:szCs w:val="24"/>
        </w:rPr>
        <w:tab/>
      </w:r>
      <w:r w:rsidRPr="0074630C">
        <w:rPr>
          <w:rFonts w:cs="Courier New"/>
          <w:b/>
          <w:i/>
          <w:szCs w:val="24"/>
        </w:rPr>
        <w:tab/>
        <w:t xml:space="preserve"> </w:t>
      </w:r>
      <w:r w:rsidRPr="0074630C">
        <w:rPr>
          <w:rFonts w:cs="Courier New"/>
          <w:b/>
          <w:i/>
          <w:szCs w:val="24"/>
        </w:rPr>
        <w:tab/>
      </w:r>
      <w:r w:rsidR="00EE1B2A">
        <w:rPr>
          <w:rFonts w:cs="Courier New"/>
          <w:b/>
          <w:i/>
          <w:szCs w:val="24"/>
        </w:rPr>
        <w:tab/>
      </w:r>
      <w:r w:rsidR="00A03245" w:rsidRPr="00D53BE3">
        <w:rPr>
          <w:rFonts w:cs="Courier New"/>
          <w:b/>
          <w:iCs/>
          <w:szCs w:val="24"/>
        </w:rPr>
        <w:t>(</w:t>
      </w:r>
      <w:r w:rsidRPr="004D5E82">
        <w:rPr>
          <w:rFonts w:cs="Courier New"/>
          <w:b/>
          <w:i/>
          <w:szCs w:val="24"/>
        </w:rPr>
        <w:t>2</w:t>
      </w:r>
      <w:r w:rsidR="00A03245" w:rsidRPr="00D53BE3">
        <w:rPr>
          <w:rFonts w:cs="Courier New"/>
          <w:b/>
          <w:iCs/>
          <w:szCs w:val="24"/>
        </w:rPr>
        <w:t>)</w:t>
      </w:r>
      <w:r w:rsidR="00A03245" w:rsidRPr="0074630C">
        <w:rPr>
          <w:rFonts w:cs="Courier New"/>
          <w:b/>
          <w:i/>
          <w:szCs w:val="24"/>
        </w:rPr>
        <w:t xml:space="preserve"> </w:t>
      </w:r>
      <w:r w:rsidR="00A03245" w:rsidRPr="0074630C">
        <w:rPr>
          <w:rFonts w:cs="Courier New"/>
          <w:b/>
          <w:szCs w:val="24"/>
        </w:rPr>
        <w:t xml:space="preserve"> </w:t>
      </w:r>
      <w:r w:rsidR="006D6728" w:rsidRPr="0074630C">
        <w:rPr>
          <w:rFonts w:cs="Courier New"/>
          <w:b/>
          <w:szCs w:val="24"/>
        </w:rPr>
        <w:t xml:space="preserve">10 U.S.C. 2380a - </w:t>
      </w:r>
      <w:r w:rsidR="00013E99" w:rsidRPr="0074630C">
        <w:rPr>
          <w:rFonts w:cs="Courier New"/>
          <w:b/>
          <w:szCs w:val="24"/>
        </w:rPr>
        <w:t>Supplies or services from nontraditional defense contractors</w:t>
      </w:r>
      <w:r w:rsidR="00051235" w:rsidRPr="0074630C">
        <w:rPr>
          <w:rFonts w:cs="Courier New"/>
          <w:b/>
          <w:szCs w:val="24"/>
        </w:rPr>
        <w:t xml:space="preserve"> pursuant to 212.102(a)(</w:t>
      </w:r>
      <w:r w:rsidR="00B57A70" w:rsidRPr="0074630C">
        <w:rPr>
          <w:rFonts w:cs="Courier New"/>
          <w:b/>
          <w:szCs w:val="24"/>
        </w:rPr>
        <w:t>i</w:t>
      </w:r>
      <w:r w:rsidR="00051235" w:rsidRPr="0074630C">
        <w:rPr>
          <w:rFonts w:cs="Courier New"/>
          <w:b/>
          <w:szCs w:val="24"/>
        </w:rPr>
        <w:t>v</w:t>
      </w:r>
      <w:r w:rsidR="00C61210" w:rsidRPr="0074630C">
        <w:rPr>
          <w:rFonts w:cs="Courier New"/>
          <w:b/>
          <w:szCs w:val="24"/>
        </w:rPr>
        <w:t>)</w:t>
      </w:r>
      <w:r w:rsidR="00E663E7" w:rsidRPr="0074630C">
        <w:rPr>
          <w:rFonts w:cs="Courier New"/>
          <w:b/>
          <w:szCs w:val="24"/>
        </w:rPr>
        <w:t>.</w:t>
      </w:r>
    </w:p>
    <w:p w14:paraId="24A78C22" w14:textId="135DDF02" w:rsidR="00A03245" w:rsidRPr="0074630C" w:rsidRDefault="00A03245">
      <w:pPr>
        <w:pStyle w:val="DFARS"/>
        <w:rPr>
          <w:rFonts w:cs="Courier New"/>
          <w:b/>
          <w:szCs w:val="24"/>
        </w:rPr>
      </w:pPr>
    </w:p>
    <w:p w14:paraId="6EF0FFCC" w14:textId="15E96CC9" w:rsidR="008F0E07" w:rsidRPr="0074630C" w:rsidRDefault="00A03245">
      <w:pPr>
        <w:pStyle w:val="DFARS"/>
        <w:rPr>
          <w:rFonts w:cs="Arial"/>
          <w:b/>
          <w:szCs w:val="24"/>
        </w:rPr>
      </w:pPr>
      <w:r w:rsidRPr="0074630C">
        <w:rPr>
          <w:rFonts w:cs="Courier New"/>
          <w:b/>
          <w:szCs w:val="24"/>
        </w:rPr>
        <w:tab/>
      </w:r>
      <w:r w:rsidR="00EE1B2A">
        <w:rPr>
          <w:rFonts w:cs="Courier New"/>
          <w:b/>
          <w:szCs w:val="24"/>
        </w:rPr>
        <w:tab/>
      </w:r>
      <w:r w:rsidRPr="0074630C">
        <w:rPr>
          <w:rFonts w:cs="Courier New"/>
          <w:b/>
          <w:szCs w:val="24"/>
        </w:rPr>
        <w:t>(ii)</w:t>
      </w:r>
      <w:r w:rsidR="008F0E07" w:rsidRPr="0074630C">
        <w:rPr>
          <w:rFonts w:cs="Courier New"/>
          <w:b/>
          <w:szCs w:val="24"/>
        </w:rPr>
        <w:t xml:space="preserve">  </w:t>
      </w:r>
      <w:r w:rsidR="008F0E07" w:rsidRPr="0074630C">
        <w:rPr>
          <w:rFonts w:cs="Arial"/>
          <w:b/>
          <w:i/>
          <w:szCs w:val="24"/>
        </w:rPr>
        <w:t>Prior use of FAR part 12 procedures.</w:t>
      </w:r>
    </w:p>
    <w:p w14:paraId="2E92182A" w14:textId="77777777" w:rsidR="008F0E07" w:rsidRPr="0074630C" w:rsidRDefault="008F0E07" w:rsidP="00D53BE3">
      <w:pPr>
        <w:pStyle w:val="DFARS"/>
        <w:rPr>
          <w:rFonts w:cs="Arial"/>
          <w:b/>
          <w:szCs w:val="24"/>
        </w:rPr>
      </w:pPr>
    </w:p>
    <w:p w14:paraId="2BE12D79" w14:textId="7D13C768" w:rsidR="00FD4951" w:rsidRPr="0074630C" w:rsidRDefault="009067FF">
      <w:pPr>
        <w:pStyle w:val="DFARS"/>
        <w:rPr>
          <w:rFonts w:cs="Arial"/>
          <w:b/>
          <w:szCs w:val="24"/>
        </w:rPr>
      </w:pPr>
      <w:r>
        <w:rPr>
          <w:rFonts w:cs="Arial"/>
          <w:b/>
          <w:szCs w:val="24"/>
        </w:rPr>
        <w:tab/>
      </w:r>
      <w:r>
        <w:rPr>
          <w:rFonts w:cs="Arial"/>
          <w:b/>
          <w:szCs w:val="24"/>
        </w:rPr>
        <w:tab/>
      </w:r>
      <w:r w:rsidR="00EE1B2A">
        <w:rPr>
          <w:rFonts w:cs="Arial"/>
          <w:b/>
          <w:szCs w:val="24"/>
        </w:rPr>
        <w:tab/>
      </w:r>
      <w:r w:rsidR="00FD4951" w:rsidRPr="0074630C">
        <w:rPr>
          <w:rFonts w:cs="Arial"/>
          <w:b/>
          <w:szCs w:val="24"/>
        </w:rPr>
        <w:t>(A)</w:t>
      </w:r>
      <w:r w:rsidR="008F0E07" w:rsidRPr="0074630C">
        <w:rPr>
          <w:rFonts w:cs="Arial"/>
          <w:b/>
          <w:szCs w:val="24"/>
        </w:rPr>
        <w:t xml:space="preserve">  Pursuant to 10 U.S.C. 2380(</w:t>
      </w:r>
      <w:r w:rsidR="001F6A7E">
        <w:rPr>
          <w:rFonts w:cs="Arial"/>
          <w:b/>
          <w:szCs w:val="24"/>
        </w:rPr>
        <w:t>c</w:t>
      </w:r>
      <w:r w:rsidR="008F0E07" w:rsidRPr="0074630C">
        <w:rPr>
          <w:rFonts w:cs="Arial"/>
          <w:b/>
          <w:szCs w:val="24"/>
        </w:rPr>
        <w:t>), except as provided in paragraph (a)(ii)(B) of this section or unless the item was acquired pursuant to paragraph (a)(</w:t>
      </w:r>
      <w:proofErr w:type="spellStart"/>
      <w:r w:rsidR="008F0E07" w:rsidRPr="0074630C">
        <w:rPr>
          <w:rFonts w:cs="Arial"/>
          <w:b/>
          <w:szCs w:val="24"/>
        </w:rPr>
        <w:t>i</w:t>
      </w:r>
      <w:proofErr w:type="spellEnd"/>
      <w:r w:rsidR="008F0E07" w:rsidRPr="0074630C">
        <w:rPr>
          <w:rFonts w:cs="Arial"/>
          <w:b/>
          <w:szCs w:val="24"/>
        </w:rPr>
        <w:t>)(B) of this section,</w:t>
      </w:r>
      <w:bookmarkStart w:id="2" w:name="OLE_LINK1"/>
      <w:r w:rsidR="008F0E07" w:rsidRPr="0074630C">
        <w:rPr>
          <w:rFonts w:cs="Arial"/>
          <w:b/>
          <w:szCs w:val="24"/>
        </w:rPr>
        <w:t xml:space="preserve"> </w:t>
      </w:r>
      <w:r w:rsidR="00DE6623" w:rsidRPr="0074630C">
        <w:rPr>
          <w:rFonts w:cs="Arial"/>
          <w:b/>
          <w:szCs w:val="24"/>
        </w:rPr>
        <w:t xml:space="preserve">if the </w:t>
      </w:r>
      <w:r w:rsidR="00E77D80" w:rsidRPr="0074630C">
        <w:rPr>
          <w:rFonts w:cs="Arial"/>
          <w:b/>
          <w:szCs w:val="24"/>
        </w:rPr>
        <w:t xml:space="preserve">Commercial Item Database </w:t>
      </w:r>
      <w:r w:rsidR="00AF6A13">
        <w:rPr>
          <w:rFonts w:cs="Arial"/>
          <w:b/>
          <w:szCs w:val="24"/>
        </w:rPr>
        <w:t>(</w:t>
      </w:r>
      <w:r w:rsidR="005B18F3">
        <w:rPr>
          <w:rFonts w:cs="Arial"/>
          <w:b/>
          <w:szCs w:val="24"/>
        </w:rPr>
        <w:t>for</w:t>
      </w:r>
      <w:r w:rsidR="0088515C">
        <w:rPr>
          <w:rFonts w:cs="Arial"/>
          <w:b/>
          <w:szCs w:val="24"/>
        </w:rPr>
        <w:t xml:space="preserve"> website</w:t>
      </w:r>
      <w:r w:rsidR="00AF6A13">
        <w:rPr>
          <w:rFonts w:cs="Arial"/>
          <w:b/>
          <w:szCs w:val="24"/>
        </w:rPr>
        <w:t xml:space="preserve"> </w:t>
      </w:r>
      <w:r w:rsidR="005B18F3">
        <w:rPr>
          <w:rFonts w:cs="Arial"/>
          <w:b/>
          <w:szCs w:val="24"/>
        </w:rPr>
        <w:t>see</w:t>
      </w:r>
      <w:r w:rsidR="00AF6A13">
        <w:rPr>
          <w:rFonts w:cs="Arial"/>
          <w:b/>
          <w:szCs w:val="24"/>
        </w:rPr>
        <w:t xml:space="preserve"> PGI 212.102(a)(iii)</w:t>
      </w:r>
      <w:r w:rsidR="00644D32">
        <w:rPr>
          <w:rFonts w:cs="Arial"/>
          <w:b/>
          <w:szCs w:val="24"/>
        </w:rPr>
        <w:t>(</w:t>
      </w:r>
      <w:r w:rsidR="00860882">
        <w:rPr>
          <w:rFonts w:cs="Arial"/>
          <w:b/>
          <w:szCs w:val="24"/>
        </w:rPr>
        <w:t>B</w:t>
      </w:r>
      <w:r w:rsidR="00644D32">
        <w:rPr>
          <w:rFonts w:cs="Arial"/>
          <w:b/>
          <w:szCs w:val="24"/>
        </w:rPr>
        <w:t>)</w:t>
      </w:r>
      <w:r w:rsidR="00AF6A13">
        <w:rPr>
          <w:rFonts w:cs="Arial"/>
          <w:b/>
          <w:szCs w:val="24"/>
        </w:rPr>
        <w:t>(</w:t>
      </w:r>
      <w:r w:rsidR="00860882">
        <w:rPr>
          <w:rFonts w:cs="Arial"/>
          <w:b/>
          <w:i/>
          <w:szCs w:val="24"/>
        </w:rPr>
        <w:t>4</w:t>
      </w:r>
      <w:r w:rsidR="00AF6A13">
        <w:rPr>
          <w:rFonts w:cs="Arial"/>
          <w:b/>
          <w:szCs w:val="24"/>
        </w:rPr>
        <w:t xml:space="preserve">)) </w:t>
      </w:r>
      <w:r w:rsidR="00635322" w:rsidRPr="0074630C">
        <w:rPr>
          <w:rFonts w:cs="Arial"/>
          <w:b/>
          <w:szCs w:val="24"/>
        </w:rPr>
        <w:t>contains a prior commerciality determination,</w:t>
      </w:r>
      <w:r w:rsidR="00E77D80" w:rsidRPr="0074630C">
        <w:rPr>
          <w:rFonts w:cs="Arial"/>
          <w:b/>
          <w:szCs w:val="24"/>
        </w:rPr>
        <w:t xml:space="preserve"> or the </w:t>
      </w:r>
      <w:r w:rsidR="00DE6623" w:rsidRPr="0074630C">
        <w:rPr>
          <w:rFonts w:cs="Arial"/>
          <w:b/>
          <w:szCs w:val="24"/>
        </w:rPr>
        <w:t>contracting officer</w:t>
      </w:r>
      <w:r w:rsidR="00E77D80" w:rsidRPr="00FA3ABC">
        <w:rPr>
          <w:rFonts w:cs="Arial"/>
          <w:b/>
          <w:szCs w:val="24"/>
        </w:rPr>
        <w:t xml:space="preserve"> has </w:t>
      </w:r>
      <w:r w:rsidR="00E77D80" w:rsidRPr="0074630C">
        <w:rPr>
          <w:rFonts w:cs="Arial"/>
          <w:b/>
          <w:szCs w:val="24"/>
        </w:rPr>
        <w:t xml:space="preserve">other </w:t>
      </w:r>
      <w:r w:rsidR="00E77D80" w:rsidRPr="00FA3ABC">
        <w:rPr>
          <w:rFonts w:cs="Arial"/>
          <w:b/>
          <w:szCs w:val="24"/>
        </w:rPr>
        <w:t>evidence</w:t>
      </w:r>
      <w:r w:rsidR="00DE6623" w:rsidRPr="0074630C">
        <w:rPr>
          <w:rFonts w:cs="Arial"/>
          <w:b/>
          <w:szCs w:val="24"/>
        </w:rPr>
        <w:t xml:space="preserve"> that</w:t>
      </w:r>
      <w:r w:rsidR="008A5D2D">
        <w:rPr>
          <w:rFonts w:cs="Arial"/>
          <w:b/>
          <w:szCs w:val="24"/>
        </w:rPr>
        <w:t xml:space="preserve"> </w:t>
      </w:r>
      <w:r w:rsidR="008F0E07" w:rsidRPr="0074630C">
        <w:rPr>
          <w:rFonts w:cs="Arial"/>
          <w:b/>
          <w:szCs w:val="24"/>
        </w:rPr>
        <w:t xml:space="preserve">an item </w:t>
      </w:r>
      <w:r w:rsidR="00DE6623" w:rsidRPr="0074630C">
        <w:rPr>
          <w:rFonts w:cs="Arial"/>
          <w:b/>
          <w:szCs w:val="24"/>
        </w:rPr>
        <w:t xml:space="preserve">has previously been </w:t>
      </w:r>
      <w:r w:rsidR="009614E1" w:rsidRPr="0074630C">
        <w:rPr>
          <w:rFonts w:cs="Arial"/>
          <w:b/>
          <w:szCs w:val="24"/>
        </w:rPr>
        <w:t xml:space="preserve">acquired by DoD </w:t>
      </w:r>
      <w:r w:rsidR="008F0E07" w:rsidRPr="0074630C">
        <w:rPr>
          <w:rFonts w:cs="Arial"/>
          <w:b/>
          <w:szCs w:val="24"/>
        </w:rPr>
        <w:t>using commercial item acquisition procedures under FAR part 12</w:t>
      </w:r>
      <w:r w:rsidR="00DE6623" w:rsidRPr="0074630C">
        <w:rPr>
          <w:rFonts w:cs="Arial"/>
          <w:b/>
          <w:szCs w:val="24"/>
        </w:rPr>
        <w:t>,</w:t>
      </w:r>
      <w:bookmarkEnd w:id="2"/>
      <w:r w:rsidR="00DE6623" w:rsidRPr="0074630C">
        <w:rPr>
          <w:rFonts w:cs="Arial"/>
          <w:b/>
          <w:szCs w:val="24"/>
        </w:rPr>
        <w:t xml:space="preserve"> </w:t>
      </w:r>
      <w:r w:rsidR="00377654">
        <w:rPr>
          <w:rFonts w:cs="Arial"/>
          <w:b/>
          <w:szCs w:val="24"/>
        </w:rPr>
        <w:t xml:space="preserve">then </w:t>
      </w:r>
      <w:r w:rsidR="00DE6623" w:rsidRPr="0074630C">
        <w:rPr>
          <w:rFonts w:cs="Arial"/>
          <w:b/>
          <w:szCs w:val="24"/>
        </w:rPr>
        <w:t xml:space="preserve">the prior contract </w:t>
      </w:r>
      <w:r w:rsidR="008F0E07" w:rsidRPr="0074630C">
        <w:rPr>
          <w:rFonts w:cs="Arial"/>
          <w:b/>
          <w:szCs w:val="24"/>
        </w:rPr>
        <w:t xml:space="preserve">shall serve as a </w:t>
      </w:r>
      <w:r w:rsidR="00404687" w:rsidRPr="0074630C">
        <w:rPr>
          <w:rFonts w:cs="Arial"/>
          <w:b/>
          <w:szCs w:val="24"/>
        </w:rPr>
        <w:t>prior d</w:t>
      </w:r>
      <w:r w:rsidR="00404687" w:rsidRPr="0074630C">
        <w:rPr>
          <w:rFonts w:cs="Courier New"/>
          <w:b/>
          <w:szCs w:val="24"/>
        </w:rPr>
        <w:t>e</w:t>
      </w:r>
      <w:r w:rsidR="000B3811" w:rsidRPr="0074630C">
        <w:rPr>
          <w:rFonts w:cs="Courier New"/>
          <w:b/>
          <w:szCs w:val="24"/>
        </w:rPr>
        <w:t>termination</w:t>
      </w:r>
      <w:r w:rsidR="00404687" w:rsidRPr="0074630C">
        <w:rPr>
          <w:rFonts w:cs="Courier New"/>
          <w:b/>
          <w:szCs w:val="24"/>
        </w:rPr>
        <w:t xml:space="preserve"> that an item is a commercial i</w:t>
      </w:r>
      <w:r w:rsidR="00BA0D67" w:rsidRPr="0074630C">
        <w:rPr>
          <w:rFonts w:cs="Courier New"/>
          <w:b/>
          <w:szCs w:val="24"/>
        </w:rPr>
        <w:t>tem</w:t>
      </w:r>
      <w:r w:rsidR="008F0E07" w:rsidRPr="0074630C">
        <w:rPr>
          <w:rFonts w:cs="Arial"/>
          <w:b/>
          <w:szCs w:val="24"/>
        </w:rPr>
        <w:t>.</w:t>
      </w:r>
      <w:r w:rsidR="00BA0D67" w:rsidRPr="0074630C">
        <w:rPr>
          <w:rFonts w:cs="Arial"/>
          <w:b/>
          <w:szCs w:val="24"/>
        </w:rPr>
        <w:t xml:space="preserve"> </w:t>
      </w:r>
      <w:r w:rsidR="00AB3973" w:rsidRPr="0074630C">
        <w:rPr>
          <w:rFonts w:cs="Arial"/>
          <w:b/>
          <w:szCs w:val="24"/>
        </w:rPr>
        <w:t xml:space="preserve"> </w:t>
      </w:r>
      <w:r w:rsidR="00BA0D67" w:rsidRPr="0074630C">
        <w:rPr>
          <w:rFonts w:cs="Arial"/>
          <w:b/>
          <w:szCs w:val="24"/>
        </w:rPr>
        <w:t xml:space="preserve">The contracting officer </w:t>
      </w:r>
      <w:r w:rsidR="003214B7" w:rsidRPr="0074630C">
        <w:rPr>
          <w:rFonts w:cs="Arial"/>
          <w:b/>
          <w:szCs w:val="24"/>
        </w:rPr>
        <w:t>shall</w:t>
      </w:r>
      <w:r w:rsidR="00BA0D67" w:rsidRPr="0074630C">
        <w:rPr>
          <w:rFonts w:cs="Arial"/>
          <w:b/>
          <w:szCs w:val="24"/>
        </w:rPr>
        <w:t xml:space="preserve"> document the file accordingly.</w:t>
      </w:r>
    </w:p>
    <w:p w14:paraId="35B5E231" w14:textId="3461B57E" w:rsidR="008F0E07" w:rsidRPr="0074630C" w:rsidRDefault="008F0E07" w:rsidP="00D53BE3">
      <w:pPr>
        <w:pStyle w:val="DFARS"/>
        <w:rPr>
          <w:rFonts w:cs="Arial"/>
          <w:b/>
          <w:szCs w:val="24"/>
        </w:rPr>
      </w:pPr>
    </w:p>
    <w:p w14:paraId="5A1D905E" w14:textId="7A43DF03" w:rsidR="00AB49ED" w:rsidRPr="00A303BA" w:rsidRDefault="008F0E07" w:rsidP="00D53BE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Arial"/>
          <w:b/>
          <w:sz w:val="24"/>
          <w:szCs w:val="24"/>
        </w:rPr>
      </w:pPr>
      <w:r w:rsidRPr="0074630C">
        <w:rPr>
          <w:rFonts w:cs="Arial"/>
          <w:b/>
          <w:szCs w:val="24"/>
        </w:rPr>
        <w:tab/>
      </w:r>
      <w:r w:rsidRPr="0074630C">
        <w:rPr>
          <w:rFonts w:cs="Arial"/>
          <w:b/>
          <w:szCs w:val="24"/>
        </w:rPr>
        <w:tab/>
      </w:r>
      <w:r w:rsidR="00EE1B2A">
        <w:rPr>
          <w:rFonts w:cs="Arial"/>
          <w:b/>
          <w:szCs w:val="24"/>
        </w:rPr>
        <w:tab/>
      </w:r>
      <w:r w:rsidRPr="00A303BA">
        <w:rPr>
          <w:rFonts w:ascii="Century Schoolbook" w:hAnsi="Century Schoolbook" w:cs="Arial"/>
          <w:b/>
          <w:sz w:val="24"/>
          <w:szCs w:val="24"/>
        </w:rPr>
        <w:t>(B</w:t>
      </w:r>
      <w:r w:rsidRPr="004D5E82">
        <w:rPr>
          <w:rFonts w:ascii="Century Schoolbook" w:hAnsi="Century Schoolbook" w:cs="Arial"/>
          <w:b/>
          <w:sz w:val="24"/>
          <w:szCs w:val="24"/>
        </w:rPr>
        <w:t>)</w:t>
      </w:r>
      <w:r w:rsidRPr="00D53BE3">
        <w:rPr>
          <w:rFonts w:ascii="Century Schoolbook" w:hAnsi="Century Schoolbook" w:cs="Arial"/>
          <w:b/>
          <w:sz w:val="24"/>
          <w:szCs w:val="24"/>
        </w:rPr>
        <w:t>(</w:t>
      </w:r>
      <w:r w:rsidRPr="00296055">
        <w:rPr>
          <w:rFonts w:ascii="Century Schoolbook" w:hAnsi="Century Schoolbook" w:cs="Arial"/>
          <w:b/>
          <w:i/>
          <w:iCs/>
          <w:sz w:val="24"/>
          <w:szCs w:val="24"/>
        </w:rPr>
        <w:t>1</w:t>
      </w:r>
      <w:proofErr w:type="gramStart"/>
      <w:r w:rsidRPr="00D53BE3">
        <w:rPr>
          <w:rFonts w:ascii="Century Schoolbook" w:hAnsi="Century Schoolbook" w:cs="Arial"/>
          <w:b/>
          <w:sz w:val="24"/>
          <w:szCs w:val="24"/>
        </w:rPr>
        <w:t>)</w:t>
      </w:r>
      <w:r w:rsidRPr="00A303BA">
        <w:rPr>
          <w:rFonts w:ascii="Century Schoolbook" w:hAnsi="Century Schoolbook" w:cs="Arial"/>
          <w:b/>
          <w:i/>
          <w:sz w:val="24"/>
          <w:szCs w:val="24"/>
        </w:rPr>
        <w:t xml:space="preserve"> </w:t>
      </w:r>
      <w:r w:rsidRPr="00A303BA">
        <w:rPr>
          <w:rFonts w:ascii="Century Schoolbook" w:hAnsi="Century Schoolbook" w:cs="Arial"/>
          <w:b/>
          <w:sz w:val="24"/>
          <w:szCs w:val="24"/>
        </w:rPr>
        <w:t xml:space="preserve"> </w:t>
      </w:r>
      <w:r w:rsidR="00A303BA" w:rsidRPr="00A303BA">
        <w:rPr>
          <w:rFonts w:ascii="Century Schoolbook" w:hAnsi="Century Schoolbook" w:cs="Melior"/>
          <w:b/>
          <w:sz w:val="24"/>
          <w:szCs w:val="24"/>
        </w:rPr>
        <w:t>If</w:t>
      </w:r>
      <w:proofErr w:type="gramEnd"/>
      <w:r w:rsidR="00A303BA" w:rsidRPr="00A303BA">
        <w:rPr>
          <w:rFonts w:ascii="Century Schoolbook" w:hAnsi="Century Schoolbook" w:cs="Melior"/>
          <w:b/>
          <w:sz w:val="24"/>
          <w:szCs w:val="24"/>
        </w:rPr>
        <w:t xml:space="preserve"> the item to be acquired meets</w:t>
      </w:r>
      <w:r w:rsidR="00A303BA">
        <w:rPr>
          <w:rFonts w:ascii="Century Schoolbook" w:hAnsi="Century Schoolbook" w:cs="Melior"/>
          <w:b/>
          <w:sz w:val="24"/>
          <w:szCs w:val="24"/>
        </w:rPr>
        <w:t xml:space="preserve"> </w:t>
      </w:r>
      <w:r w:rsidR="00A303BA" w:rsidRPr="00A303BA">
        <w:rPr>
          <w:rFonts w:ascii="Century Schoolbook" w:hAnsi="Century Schoolbook" w:cs="Melior"/>
          <w:b/>
          <w:sz w:val="24"/>
          <w:szCs w:val="24"/>
        </w:rPr>
        <w:t xml:space="preserve">the criteria in paragraph </w:t>
      </w:r>
      <w:r w:rsidR="00A303BA">
        <w:rPr>
          <w:rFonts w:ascii="Century Schoolbook" w:hAnsi="Century Schoolbook" w:cs="Melior"/>
          <w:b/>
          <w:sz w:val="24"/>
          <w:szCs w:val="24"/>
        </w:rPr>
        <w:t>(</w:t>
      </w:r>
      <w:r w:rsidR="00A303BA" w:rsidRPr="00A303BA">
        <w:rPr>
          <w:rFonts w:ascii="Century Schoolbook" w:hAnsi="Century Schoolbook" w:cs="Melior"/>
          <w:b/>
          <w:sz w:val="24"/>
          <w:szCs w:val="24"/>
        </w:rPr>
        <w:t>a)(ii)(A) of this</w:t>
      </w:r>
      <w:r w:rsidR="00A303BA">
        <w:rPr>
          <w:rFonts w:ascii="Century Schoolbook" w:hAnsi="Century Schoolbook" w:cs="Melior"/>
          <w:b/>
          <w:sz w:val="24"/>
          <w:szCs w:val="24"/>
        </w:rPr>
        <w:t xml:space="preserve"> </w:t>
      </w:r>
      <w:r w:rsidR="00A303BA" w:rsidRPr="00A303BA">
        <w:rPr>
          <w:rFonts w:ascii="Century Schoolbook" w:hAnsi="Century Schoolbook" w:cs="Melior"/>
          <w:b/>
          <w:sz w:val="24"/>
          <w:szCs w:val="24"/>
        </w:rPr>
        <w:t>section</w:t>
      </w:r>
      <w:r w:rsidR="00971243">
        <w:rPr>
          <w:rFonts w:ascii="Century Schoolbook" w:hAnsi="Century Schoolbook" w:cs="Melior"/>
          <w:b/>
          <w:sz w:val="24"/>
          <w:szCs w:val="24"/>
        </w:rPr>
        <w:t>,</w:t>
      </w:r>
      <w:r w:rsidR="00A303BA" w:rsidRPr="00A303BA">
        <w:rPr>
          <w:rFonts w:ascii="Century Schoolbook" w:hAnsi="Century Schoolbook" w:cs="Melior"/>
          <w:b/>
          <w:sz w:val="24"/>
          <w:szCs w:val="24"/>
        </w:rPr>
        <w:t xml:space="preserve"> the item may not be acquired</w:t>
      </w:r>
      <w:r w:rsidR="00A303BA">
        <w:rPr>
          <w:rFonts w:ascii="Century Schoolbook" w:hAnsi="Century Schoolbook" w:cs="Melior"/>
          <w:b/>
          <w:sz w:val="24"/>
          <w:szCs w:val="24"/>
        </w:rPr>
        <w:t xml:space="preserve"> </w:t>
      </w:r>
      <w:r w:rsidR="00A303BA" w:rsidRPr="00A303BA">
        <w:rPr>
          <w:rFonts w:ascii="Century Schoolbook" w:hAnsi="Century Schoolbook" w:cs="Melior"/>
          <w:b/>
          <w:sz w:val="24"/>
          <w:szCs w:val="24"/>
        </w:rPr>
        <w:t>using other than FAR part 12</w:t>
      </w:r>
      <w:r w:rsidR="00A303BA">
        <w:rPr>
          <w:rFonts w:ascii="Century Schoolbook" w:hAnsi="Century Schoolbook" w:cs="Melior"/>
          <w:b/>
          <w:sz w:val="24"/>
          <w:szCs w:val="24"/>
        </w:rPr>
        <w:t xml:space="preserve"> </w:t>
      </w:r>
      <w:r w:rsidR="00A303BA" w:rsidRPr="00A303BA">
        <w:rPr>
          <w:rFonts w:ascii="Century Schoolbook" w:hAnsi="Century Schoolbook" w:cs="Melior"/>
          <w:b/>
          <w:sz w:val="24"/>
          <w:szCs w:val="24"/>
        </w:rPr>
        <w:t xml:space="preserve">procedures unless the head of </w:t>
      </w:r>
      <w:r w:rsidR="00971243">
        <w:rPr>
          <w:rFonts w:ascii="Century Schoolbook" w:hAnsi="Century Schoolbook" w:cs="Melior"/>
          <w:b/>
          <w:sz w:val="24"/>
          <w:szCs w:val="24"/>
        </w:rPr>
        <w:t>the</w:t>
      </w:r>
      <w:r w:rsidR="00A303BA">
        <w:rPr>
          <w:rFonts w:ascii="Century Schoolbook" w:hAnsi="Century Schoolbook" w:cs="Melior"/>
          <w:b/>
          <w:sz w:val="24"/>
          <w:szCs w:val="24"/>
        </w:rPr>
        <w:t xml:space="preserve"> </w:t>
      </w:r>
      <w:r w:rsidR="00A303BA" w:rsidRPr="00A303BA">
        <w:rPr>
          <w:rFonts w:ascii="Century Schoolbook" w:hAnsi="Century Schoolbook" w:cs="Melior"/>
          <w:b/>
          <w:sz w:val="24"/>
          <w:szCs w:val="24"/>
        </w:rPr>
        <w:t>contracting activity issues a</w:t>
      </w:r>
      <w:r w:rsidR="005F6702">
        <w:rPr>
          <w:rFonts w:ascii="Century Schoolbook" w:hAnsi="Century Schoolbook" w:cs="Melior"/>
          <w:b/>
          <w:sz w:val="24"/>
          <w:szCs w:val="24"/>
        </w:rPr>
        <w:t xml:space="preserve"> </w:t>
      </w:r>
      <w:r w:rsidR="00A303BA" w:rsidRPr="00A303BA">
        <w:rPr>
          <w:rFonts w:ascii="Century Schoolbook" w:hAnsi="Century Schoolbook" w:cs="Melior"/>
          <w:b/>
          <w:sz w:val="24"/>
          <w:szCs w:val="24"/>
        </w:rPr>
        <w:t>determination as specified in paragraph</w:t>
      </w:r>
      <w:r w:rsidR="00A303BA">
        <w:rPr>
          <w:rFonts w:ascii="Century Schoolbook" w:hAnsi="Century Schoolbook" w:cs="Melior"/>
          <w:b/>
          <w:sz w:val="24"/>
          <w:szCs w:val="24"/>
        </w:rPr>
        <w:t xml:space="preserve"> </w:t>
      </w:r>
      <w:r w:rsidR="00A303BA" w:rsidRPr="00A303BA">
        <w:rPr>
          <w:rFonts w:ascii="Century Schoolbook" w:hAnsi="Century Schoolbook" w:cs="Melior"/>
          <w:b/>
          <w:sz w:val="24"/>
          <w:szCs w:val="24"/>
        </w:rPr>
        <w:t>(a)(ii)(B)(</w:t>
      </w:r>
      <w:r w:rsidR="00A303BA" w:rsidRPr="00A303BA">
        <w:rPr>
          <w:rFonts w:ascii="Century Schoolbook" w:hAnsi="Century Schoolbook" w:cs="Melior-Italic"/>
          <w:b/>
          <w:i/>
          <w:iCs/>
          <w:sz w:val="24"/>
          <w:szCs w:val="24"/>
        </w:rPr>
        <w:t>2</w:t>
      </w:r>
      <w:r w:rsidR="00A303BA" w:rsidRPr="00A303BA">
        <w:rPr>
          <w:rFonts w:ascii="Century Schoolbook" w:hAnsi="Century Schoolbook" w:cs="Melior"/>
          <w:b/>
          <w:sz w:val="24"/>
          <w:szCs w:val="24"/>
        </w:rPr>
        <w:t>)(</w:t>
      </w:r>
      <w:r w:rsidR="00A303BA" w:rsidRPr="00A303BA">
        <w:rPr>
          <w:rFonts w:ascii="Century Schoolbook" w:hAnsi="Century Schoolbook" w:cs="Melior-Italic"/>
          <w:b/>
          <w:i/>
          <w:iCs/>
          <w:sz w:val="24"/>
          <w:szCs w:val="24"/>
        </w:rPr>
        <w:t>ii</w:t>
      </w:r>
      <w:r w:rsidR="00A303BA" w:rsidRPr="00A303BA">
        <w:rPr>
          <w:rFonts w:ascii="Century Schoolbook" w:hAnsi="Century Schoolbook" w:cs="Melior"/>
          <w:b/>
          <w:sz w:val="24"/>
          <w:szCs w:val="24"/>
        </w:rPr>
        <w:t>) of this section.</w:t>
      </w:r>
    </w:p>
    <w:p w14:paraId="28259395" w14:textId="77777777" w:rsidR="00931A74" w:rsidRPr="0074630C" w:rsidRDefault="00931A74">
      <w:pPr>
        <w:pStyle w:val="DFARS"/>
        <w:rPr>
          <w:rFonts w:cs="Arial"/>
          <w:b/>
          <w:i/>
          <w:szCs w:val="24"/>
        </w:rPr>
      </w:pPr>
    </w:p>
    <w:p w14:paraId="003FDDCB" w14:textId="6B7B1BA9" w:rsidR="008F0E07" w:rsidRPr="0074630C" w:rsidRDefault="00B019F0">
      <w:pPr>
        <w:pStyle w:val="DFARS"/>
        <w:rPr>
          <w:rFonts w:cs="Arial"/>
          <w:b/>
          <w:szCs w:val="24"/>
        </w:rPr>
      </w:pPr>
      <w:r w:rsidRPr="0074630C">
        <w:rPr>
          <w:rFonts w:cs="Arial"/>
          <w:b/>
          <w:szCs w:val="24"/>
        </w:rPr>
        <w:tab/>
      </w:r>
      <w:r w:rsidRPr="0074630C">
        <w:rPr>
          <w:rFonts w:cs="Arial"/>
          <w:b/>
          <w:szCs w:val="24"/>
        </w:rPr>
        <w:tab/>
      </w:r>
      <w:r w:rsidR="00EE1B2A">
        <w:rPr>
          <w:rFonts w:cs="Arial"/>
          <w:b/>
          <w:szCs w:val="24"/>
        </w:rPr>
        <w:tab/>
      </w:r>
      <w:r w:rsidR="00EE1B2A">
        <w:rPr>
          <w:rFonts w:cs="Arial"/>
          <w:b/>
          <w:szCs w:val="24"/>
        </w:rPr>
        <w:tab/>
      </w:r>
      <w:r w:rsidRPr="004D5E82">
        <w:rPr>
          <w:rFonts w:cs="Arial"/>
          <w:b/>
          <w:szCs w:val="24"/>
        </w:rPr>
        <w:t>(</w:t>
      </w:r>
      <w:r w:rsidR="00B03048" w:rsidRPr="00296055">
        <w:rPr>
          <w:rFonts w:cs="Arial"/>
          <w:b/>
          <w:i/>
          <w:iCs/>
          <w:szCs w:val="24"/>
        </w:rPr>
        <w:t>2</w:t>
      </w:r>
      <w:r w:rsidRPr="004D5E82">
        <w:rPr>
          <w:rFonts w:cs="Arial"/>
          <w:b/>
          <w:szCs w:val="24"/>
        </w:rPr>
        <w:t>)</w:t>
      </w:r>
      <w:r w:rsidRPr="0074630C">
        <w:rPr>
          <w:rFonts w:cs="Arial"/>
          <w:b/>
          <w:szCs w:val="24"/>
        </w:rPr>
        <w:t xml:space="preserve">  </w:t>
      </w:r>
      <w:r w:rsidR="009623BA" w:rsidRPr="009623BA">
        <w:rPr>
          <w:rFonts w:cs="Arial"/>
          <w:b/>
          <w:szCs w:val="24"/>
        </w:rPr>
        <w:t>Pursuant to 10 U.S.C. 2306a(b)(4)(A), the contracting officer may presume that a prior commercial item determination made by a military department, a defense agency, or another component of DoD shall serve as a determination for subsequent procurements of such item.</w:t>
      </w:r>
      <w:r w:rsidR="009623BA">
        <w:rPr>
          <w:rFonts w:cs="Arial"/>
          <w:b/>
          <w:szCs w:val="24"/>
        </w:rPr>
        <w:t xml:space="preserve">  </w:t>
      </w:r>
      <w:r w:rsidR="00A65B33" w:rsidRPr="0074630C">
        <w:rPr>
          <w:rFonts w:cs="Arial"/>
          <w:b/>
          <w:szCs w:val="24"/>
        </w:rPr>
        <w:t xml:space="preserve">In accordance with </w:t>
      </w:r>
      <w:r w:rsidR="008F0E07" w:rsidRPr="0074630C">
        <w:rPr>
          <w:rFonts w:cs="Arial"/>
          <w:b/>
          <w:szCs w:val="24"/>
        </w:rPr>
        <w:t>10 U.S.C. 2306a(b)(4)</w:t>
      </w:r>
      <w:r w:rsidR="004B5FDF" w:rsidRPr="0074630C">
        <w:rPr>
          <w:rFonts w:cs="Arial"/>
          <w:b/>
          <w:szCs w:val="24"/>
        </w:rPr>
        <w:t xml:space="preserve"> and 10 U.S.C. 2380(</w:t>
      </w:r>
      <w:r w:rsidR="001F6A7E">
        <w:rPr>
          <w:rFonts w:cs="Arial"/>
          <w:b/>
          <w:szCs w:val="24"/>
        </w:rPr>
        <w:t>c</w:t>
      </w:r>
      <w:r w:rsidR="004B5FDF" w:rsidRPr="0074630C">
        <w:rPr>
          <w:rFonts w:cs="Arial"/>
          <w:b/>
          <w:szCs w:val="24"/>
        </w:rPr>
        <w:t>)</w:t>
      </w:r>
      <w:r w:rsidR="008F0E07" w:rsidRPr="0074630C">
        <w:rPr>
          <w:rFonts w:cs="Arial"/>
          <w:b/>
          <w:szCs w:val="24"/>
        </w:rPr>
        <w:t xml:space="preserve">, if </w:t>
      </w:r>
      <w:r w:rsidR="00A65B33" w:rsidRPr="0074630C">
        <w:rPr>
          <w:rFonts w:cs="Arial"/>
          <w:b/>
          <w:szCs w:val="24"/>
        </w:rPr>
        <w:t>t</w:t>
      </w:r>
      <w:r w:rsidR="008F0E07" w:rsidRPr="0074630C">
        <w:rPr>
          <w:rFonts w:cs="Arial"/>
          <w:b/>
          <w:szCs w:val="24"/>
        </w:rPr>
        <w:t xml:space="preserve">he contracting officer </w:t>
      </w:r>
      <w:r w:rsidRPr="0074630C">
        <w:rPr>
          <w:rFonts w:cs="Arial"/>
          <w:b/>
          <w:szCs w:val="24"/>
        </w:rPr>
        <w:t>questions a prior de</w:t>
      </w:r>
      <w:r w:rsidR="000B3811" w:rsidRPr="0074630C">
        <w:rPr>
          <w:rFonts w:cs="Arial"/>
          <w:b/>
          <w:szCs w:val="24"/>
        </w:rPr>
        <w:t>termination</w:t>
      </w:r>
      <w:r w:rsidRPr="0074630C">
        <w:rPr>
          <w:rFonts w:cs="Arial"/>
          <w:b/>
          <w:szCs w:val="24"/>
        </w:rPr>
        <w:t xml:space="preserve"> to use </w:t>
      </w:r>
      <w:r w:rsidR="007E76D9">
        <w:rPr>
          <w:rFonts w:cs="Arial"/>
          <w:b/>
          <w:szCs w:val="24"/>
        </w:rPr>
        <w:t xml:space="preserve">FAR </w:t>
      </w:r>
      <w:r w:rsidRPr="0074630C">
        <w:rPr>
          <w:rFonts w:cs="Arial"/>
          <w:b/>
          <w:szCs w:val="24"/>
        </w:rPr>
        <w:t>part 12 procedures</w:t>
      </w:r>
      <w:r w:rsidR="008F0E07" w:rsidRPr="0074630C">
        <w:rPr>
          <w:rFonts w:cs="Arial"/>
          <w:b/>
          <w:szCs w:val="24"/>
        </w:rPr>
        <w:t xml:space="preserve"> and instead chooses to proceed with a procurement of an item previously determined to be a commercial item using procedures other than </w:t>
      </w:r>
      <w:r w:rsidRPr="0074630C">
        <w:rPr>
          <w:rFonts w:cs="Arial"/>
          <w:b/>
          <w:szCs w:val="24"/>
        </w:rPr>
        <w:t>FAR part 12</w:t>
      </w:r>
      <w:r w:rsidR="008F0E07" w:rsidRPr="0074630C">
        <w:rPr>
          <w:rFonts w:cs="Arial"/>
          <w:b/>
          <w:szCs w:val="24"/>
        </w:rPr>
        <w:t xml:space="preserve"> procedures, the contracting officer shall request a review by the head of the contracting activity that will conduct the procurement.  Not later than 30 days after receiving a request for review, the head of </w:t>
      </w:r>
      <w:r w:rsidR="001B09B6">
        <w:rPr>
          <w:rFonts w:cs="Arial"/>
          <w:b/>
          <w:szCs w:val="24"/>
        </w:rPr>
        <w:t xml:space="preserve">the </w:t>
      </w:r>
      <w:r w:rsidR="008F0E07" w:rsidRPr="0074630C">
        <w:rPr>
          <w:rFonts w:cs="Arial"/>
          <w:b/>
          <w:szCs w:val="24"/>
        </w:rPr>
        <w:t>contracting activity shall—</w:t>
      </w:r>
    </w:p>
    <w:p w14:paraId="2D2C7290" w14:textId="77777777" w:rsidR="008F0E07" w:rsidRPr="0074630C" w:rsidRDefault="008F0E07">
      <w:pPr>
        <w:pStyle w:val="DFARS"/>
        <w:rPr>
          <w:rFonts w:cs="Arial"/>
          <w:b/>
          <w:szCs w:val="24"/>
        </w:rPr>
      </w:pPr>
    </w:p>
    <w:p w14:paraId="1D33D289" w14:textId="683DB412" w:rsidR="008F0E07" w:rsidRPr="0074630C" w:rsidRDefault="008F0E07">
      <w:pPr>
        <w:pStyle w:val="DFARS"/>
        <w:rPr>
          <w:rFonts w:cs="Arial"/>
          <w:b/>
          <w:szCs w:val="24"/>
        </w:rPr>
      </w:pPr>
      <w:r w:rsidRPr="0074630C">
        <w:rPr>
          <w:rFonts w:cs="Arial"/>
          <w:b/>
          <w:szCs w:val="24"/>
        </w:rPr>
        <w:tab/>
      </w:r>
      <w:r w:rsidRPr="0074630C">
        <w:rPr>
          <w:rFonts w:cs="Arial"/>
          <w:b/>
          <w:szCs w:val="24"/>
        </w:rPr>
        <w:tab/>
      </w:r>
      <w:r w:rsidRPr="0074630C">
        <w:rPr>
          <w:rFonts w:cs="Arial"/>
          <w:b/>
          <w:szCs w:val="24"/>
        </w:rPr>
        <w:tab/>
      </w:r>
      <w:r w:rsidRPr="0074630C">
        <w:rPr>
          <w:rFonts w:cs="Arial"/>
          <w:b/>
          <w:szCs w:val="24"/>
        </w:rPr>
        <w:tab/>
      </w:r>
      <w:r w:rsidR="00EE1B2A">
        <w:rPr>
          <w:rFonts w:cs="Arial"/>
          <w:b/>
          <w:szCs w:val="24"/>
        </w:rPr>
        <w:tab/>
      </w:r>
      <w:r w:rsidRPr="0074630C">
        <w:rPr>
          <w:rFonts w:cs="Arial"/>
          <w:b/>
          <w:szCs w:val="24"/>
        </w:rPr>
        <w:t>(</w:t>
      </w:r>
      <w:proofErr w:type="spellStart"/>
      <w:r w:rsidRPr="0074630C">
        <w:rPr>
          <w:rFonts w:cs="Arial"/>
          <w:b/>
          <w:i/>
          <w:szCs w:val="24"/>
        </w:rPr>
        <w:t>i</w:t>
      </w:r>
      <w:proofErr w:type="spellEnd"/>
      <w:r w:rsidRPr="0074630C">
        <w:rPr>
          <w:rFonts w:cs="Arial"/>
          <w:b/>
          <w:szCs w:val="24"/>
        </w:rPr>
        <w:t>)  Confirm that the prior use of FAR part 12 procedures was appropriate and still applicable; or</w:t>
      </w:r>
    </w:p>
    <w:p w14:paraId="682099EC" w14:textId="77777777" w:rsidR="008F0E07" w:rsidRPr="0074630C" w:rsidRDefault="008F0E07">
      <w:pPr>
        <w:pStyle w:val="DFARS"/>
        <w:rPr>
          <w:rFonts w:cs="Arial"/>
          <w:b/>
          <w:szCs w:val="24"/>
        </w:rPr>
      </w:pPr>
    </w:p>
    <w:p w14:paraId="6CEFD626" w14:textId="6CE119FA" w:rsidR="008F0E07" w:rsidRPr="0074630C" w:rsidRDefault="008F0E07">
      <w:pPr>
        <w:pStyle w:val="DFARS"/>
        <w:rPr>
          <w:rFonts w:cs="Arial"/>
          <w:b/>
          <w:szCs w:val="24"/>
        </w:rPr>
      </w:pPr>
      <w:r w:rsidRPr="0074630C">
        <w:rPr>
          <w:rFonts w:cs="Arial"/>
          <w:b/>
          <w:szCs w:val="24"/>
        </w:rPr>
        <w:tab/>
      </w:r>
      <w:r w:rsidRPr="0074630C">
        <w:rPr>
          <w:rFonts w:cs="Arial"/>
          <w:b/>
          <w:szCs w:val="24"/>
        </w:rPr>
        <w:tab/>
      </w:r>
      <w:r w:rsidRPr="0074630C">
        <w:rPr>
          <w:rFonts w:cs="Arial"/>
          <w:b/>
          <w:szCs w:val="24"/>
        </w:rPr>
        <w:tab/>
      </w:r>
      <w:r w:rsidRPr="0074630C">
        <w:rPr>
          <w:rFonts w:cs="Arial"/>
          <w:b/>
          <w:szCs w:val="24"/>
        </w:rPr>
        <w:tab/>
      </w:r>
      <w:r w:rsidR="00EE1B2A">
        <w:rPr>
          <w:rFonts w:cs="Arial"/>
          <w:b/>
          <w:szCs w:val="24"/>
        </w:rPr>
        <w:tab/>
      </w:r>
      <w:r w:rsidRPr="0074630C">
        <w:rPr>
          <w:rFonts w:cs="Arial"/>
          <w:b/>
          <w:szCs w:val="24"/>
        </w:rPr>
        <w:t>(</w:t>
      </w:r>
      <w:r w:rsidRPr="0074630C">
        <w:rPr>
          <w:rFonts w:cs="Arial"/>
          <w:b/>
          <w:i/>
          <w:szCs w:val="24"/>
        </w:rPr>
        <w:t>ii</w:t>
      </w:r>
      <w:r w:rsidR="00B019F0" w:rsidRPr="0074630C">
        <w:rPr>
          <w:rFonts w:cs="Arial"/>
          <w:b/>
          <w:i/>
          <w:szCs w:val="24"/>
        </w:rPr>
        <w:t>)</w:t>
      </w:r>
      <w:r w:rsidRPr="0074630C">
        <w:rPr>
          <w:rFonts w:cs="Arial"/>
          <w:b/>
          <w:szCs w:val="24"/>
        </w:rPr>
        <w:t xml:space="preserve">  Issue a determination that the prior use of FAR part 12 procedures was improper or that it is no longer appropriate to acquire the item using FAR part 12 procedures, with a written explanation of the basis for the determination</w:t>
      </w:r>
      <w:r w:rsidR="00B019F0" w:rsidRPr="0074630C">
        <w:rPr>
          <w:rFonts w:cs="Arial"/>
          <w:b/>
          <w:szCs w:val="24"/>
        </w:rPr>
        <w:t>.</w:t>
      </w:r>
    </w:p>
    <w:p w14:paraId="68AECB02" w14:textId="77777777" w:rsidR="008F0E07" w:rsidRPr="0074630C" w:rsidRDefault="008F0E07">
      <w:pPr>
        <w:pStyle w:val="DFARS"/>
        <w:rPr>
          <w:rFonts w:cs="Courier New"/>
          <w:szCs w:val="24"/>
        </w:rPr>
      </w:pPr>
    </w:p>
    <w:p w14:paraId="5DCEE6BB" w14:textId="12AE8821" w:rsidR="00A03245" w:rsidRPr="0074630C" w:rsidRDefault="009067FF">
      <w:pPr>
        <w:pStyle w:val="DFARS"/>
        <w:rPr>
          <w:rFonts w:cs="Courier New"/>
          <w:szCs w:val="24"/>
        </w:rPr>
      </w:pPr>
      <w:r>
        <w:rPr>
          <w:rFonts w:cs="Courier New"/>
          <w:b/>
          <w:szCs w:val="24"/>
        </w:rPr>
        <w:tab/>
      </w:r>
      <w:r w:rsidR="00EE1B2A">
        <w:rPr>
          <w:rFonts w:cs="Courier New"/>
          <w:b/>
          <w:szCs w:val="24"/>
        </w:rPr>
        <w:tab/>
      </w:r>
      <w:r w:rsidR="008F0E07" w:rsidRPr="0074630C">
        <w:rPr>
          <w:rFonts w:cs="Courier New"/>
          <w:b/>
          <w:szCs w:val="24"/>
        </w:rPr>
        <w:t>(iii</w:t>
      </w:r>
      <w:proofErr w:type="gramStart"/>
      <w:r w:rsidR="008F0E07" w:rsidRPr="0074630C">
        <w:rPr>
          <w:rFonts w:cs="Courier New"/>
          <w:b/>
          <w:szCs w:val="24"/>
        </w:rPr>
        <w:t>)]</w:t>
      </w:r>
      <w:r w:rsidR="00C46E5A">
        <w:rPr>
          <w:rFonts w:cs="Courier New"/>
          <w:b/>
          <w:szCs w:val="24"/>
        </w:rPr>
        <w:t xml:space="preserve"> </w:t>
      </w:r>
      <w:r w:rsidR="008F0E07" w:rsidRPr="0074630C">
        <w:rPr>
          <w:rFonts w:cs="Courier New"/>
          <w:b/>
          <w:szCs w:val="24"/>
        </w:rPr>
        <w:t xml:space="preserve"> </w:t>
      </w:r>
      <w:r w:rsidR="00DD5C76" w:rsidRPr="0074630C">
        <w:rPr>
          <w:rFonts w:cs="Courier New"/>
          <w:i/>
          <w:szCs w:val="24"/>
        </w:rPr>
        <w:t>Commercial</w:t>
      </w:r>
      <w:proofErr w:type="gramEnd"/>
      <w:r w:rsidR="00DD5C76" w:rsidRPr="0074630C">
        <w:rPr>
          <w:rFonts w:cs="Courier New"/>
          <w:i/>
          <w:szCs w:val="24"/>
        </w:rPr>
        <w:t xml:space="preserve"> item determination</w:t>
      </w:r>
      <w:r w:rsidR="00641FF5">
        <w:rPr>
          <w:rFonts w:cs="Courier New"/>
          <w:i/>
          <w:szCs w:val="24"/>
        </w:rPr>
        <w:t>.</w:t>
      </w:r>
      <w:r w:rsidR="00DD5C76" w:rsidRPr="0074630C">
        <w:rPr>
          <w:rFonts w:cs="Courier New"/>
          <w:szCs w:val="24"/>
        </w:rPr>
        <w:t xml:space="preserve"> </w:t>
      </w:r>
      <w:r w:rsidR="00FD541A" w:rsidRPr="00D53BE3">
        <w:rPr>
          <w:rFonts w:cs="Courier New"/>
          <w:szCs w:val="24"/>
        </w:rPr>
        <w:t xml:space="preserve"> </w:t>
      </w:r>
      <w:r w:rsidR="00615008" w:rsidRPr="0074630C">
        <w:rPr>
          <w:rFonts w:cs="Courier New"/>
          <w:b/>
          <w:szCs w:val="24"/>
        </w:rPr>
        <w:t xml:space="preserve">[Unless the procedures in paragraph (a)(ii) of this section are applicable, </w:t>
      </w:r>
      <w:proofErr w:type="gramStart"/>
      <w:r w:rsidR="00615008" w:rsidRPr="0074630C">
        <w:rPr>
          <w:rFonts w:cs="Courier New"/>
          <w:b/>
          <w:szCs w:val="24"/>
        </w:rPr>
        <w:t>w]</w:t>
      </w:r>
      <w:r w:rsidR="00A03245" w:rsidRPr="0074630C">
        <w:rPr>
          <w:rFonts w:cs="Courier New"/>
          <w:strike/>
          <w:szCs w:val="24"/>
        </w:rPr>
        <w:t>W</w:t>
      </w:r>
      <w:r w:rsidR="00A03245" w:rsidRPr="0074630C">
        <w:rPr>
          <w:rFonts w:cs="Courier New"/>
          <w:szCs w:val="24"/>
        </w:rPr>
        <w:t>hen</w:t>
      </w:r>
      <w:proofErr w:type="gramEnd"/>
      <w:r w:rsidR="00A03245" w:rsidRPr="0074630C">
        <w:rPr>
          <w:rFonts w:cs="Courier New"/>
          <w:szCs w:val="24"/>
        </w:rPr>
        <w:t xml:space="preserve"> using FAR part 12 procedures for</w:t>
      </w:r>
      <w:r w:rsidR="00CC6D3A" w:rsidRPr="0074630C">
        <w:rPr>
          <w:rFonts w:cs="Courier New"/>
          <w:szCs w:val="24"/>
        </w:rPr>
        <w:t xml:space="preserve"> </w:t>
      </w:r>
      <w:r w:rsidR="00A03245" w:rsidRPr="0074630C">
        <w:rPr>
          <w:rFonts w:cs="Courier New"/>
          <w:szCs w:val="24"/>
        </w:rPr>
        <w:t xml:space="preserve">acquisitions </w:t>
      </w:r>
      <w:r w:rsidR="00617A5C" w:rsidRPr="00556FDC">
        <w:rPr>
          <w:rFonts w:cs="Courier New"/>
          <w:b/>
          <w:bCs/>
          <w:szCs w:val="24"/>
        </w:rPr>
        <w:t>[</w:t>
      </w:r>
      <w:r w:rsidR="00617A5C" w:rsidRPr="0074630C">
        <w:rPr>
          <w:rFonts w:cs="Courier New"/>
          <w:b/>
          <w:szCs w:val="24"/>
        </w:rPr>
        <w:t>of commercial items</w:t>
      </w:r>
      <w:r w:rsidR="00606D7A" w:rsidRPr="0074630C">
        <w:rPr>
          <w:rFonts w:cs="Courier New"/>
          <w:b/>
          <w:szCs w:val="24"/>
        </w:rPr>
        <w:t xml:space="preserve"> pursuant to 212.102(a)(</w:t>
      </w:r>
      <w:proofErr w:type="spellStart"/>
      <w:r w:rsidR="00606D7A" w:rsidRPr="0074630C">
        <w:rPr>
          <w:rFonts w:cs="Courier New"/>
          <w:b/>
          <w:szCs w:val="24"/>
        </w:rPr>
        <w:t>i</w:t>
      </w:r>
      <w:proofErr w:type="spellEnd"/>
      <w:r w:rsidR="00606D7A" w:rsidRPr="0074630C">
        <w:rPr>
          <w:rFonts w:cs="Courier New"/>
          <w:b/>
          <w:szCs w:val="24"/>
        </w:rPr>
        <w:t>)(A</w:t>
      </w:r>
      <w:r w:rsidR="00606D7A" w:rsidRPr="005F6702">
        <w:rPr>
          <w:rFonts w:cs="Courier New"/>
          <w:b/>
          <w:szCs w:val="24"/>
        </w:rPr>
        <w:t>)</w:t>
      </w:r>
      <w:r w:rsidR="001B09B6">
        <w:rPr>
          <w:rFonts w:cs="Courier New"/>
          <w:b/>
          <w:szCs w:val="24"/>
        </w:rPr>
        <w:t xml:space="preserve"> </w:t>
      </w:r>
      <w:r w:rsidR="00967D31" w:rsidRPr="00D53BE3">
        <w:rPr>
          <w:rFonts w:cs="Courier New"/>
          <w:b/>
          <w:szCs w:val="24"/>
        </w:rPr>
        <w:t xml:space="preserve">that </w:t>
      </w:r>
      <w:r w:rsidR="003C22C3" w:rsidRPr="00D53BE3">
        <w:rPr>
          <w:rFonts w:cs="Courier New"/>
          <w:b/>
          <w:szCs w:val="24"/>
        </w:rPr>
        <w:t>exceed</w:t>
      </w:r>
      <w:r w:rsidR="00967D31" w:rsidRPr="00D53BE3">
        <w:rPr>
          <w:rFonts w:cs="Courier New"/>
          <w:b/>
          <w:szCs w:val="24"/>
        </w:rPr>
        <w:t xml:space="preserve"> the </w:t>
      </w:r>
      <w:r w:rsidR="003C22C3" w:rsidRPr="00D53BE3">
        <w:rPr>
          <w:rFonts w:cs="Courier New"/>
          <w:b/>
          <w:szCs w:val="24"/>
        </w:rPr>
        <w:t>simplified acquisition threshold]</w:t>
      </w:r>
      <w:r w:rsidR="00967D31" w:rsidRPr="005F6702">
        <w:rPr>
          <w:rFonts w:cs="Courier New"/>
          <w:szCs w:val="24"/>
        </w:rPr>
        <w:t xml:space="preserve"> </w:t>
      </w:r>
      <w:r w:rsidR="00A03245" w:rsidRPr="005F6702">
        <w:rPr>
          <w:rFonts w:cs="Courier New"/>
          <w:strike/>
          <w:szCs w:val="24"/>
        </w:rPr>
        <w:t>exceeding $1 million in value, except for acquisitions made pursuant to</w:t>
      </w:r>
      <w:r w:rsidR="004F1177" w:rsidRPr="005F6702">
        <w:rPr>
          <w:rFonts w:cs="Courier New"/>
          <w:strike/>
          <w:szCs w:val="24"/>
        </w:rPr>
        <w:t xml:space="preserve"> </w:t>
      </w:r>
      <w:r w:rsidR="00A03245" w:rsidRPr="005F6702">
        <w:rPr>
          <w:rFonts w:cs="Courier New"/>
          <w:strike/>
          <w:szCs w:val="24"/>
        </w:rPr>
        <w:t>FAR 12.102(f)(1)</w:t>
      </w:r>
      <w:r w:rsidR="00A03245" w:rsidRPr="005F6702">
        <w:rPr>
          <w:rFonts w:cs="Courier New"/>
          <w:szCs w:val="24"/>
        </w:rPr>
        <w:t>, the</w:t>
      </w:r>
      <w:r w:rsidR="00A03245" w:rsidRPr="0074630C">
        <w:rPr>
          <w:rFonts w:cs="Courier New"/>
          <w:szCs w:val="24"/>
        </w:rPr>
        <w:t xml:space="preserve"> contracting officer shall—</w:t>
      </w:r>
    </w:p>
    <w:p w14:paraId="6576890B" w14:textId="77777777" w:rsidR="00A03245" w:rsidRPr="0074630C" w:rsidRDefault="00A03245">
      <w:pPr>
        <w:pStyle w:val="DFARS"/>
        <w:rPr>
          <w:rFonts w:cs="Courier New"/>
          <w:szCs w:val="24"/>
        </w:rPr>
      </w:pPr>
    </w:p>
    <w:p w14:paraId="7FB47B88" w14:textId="449F1BE3" w:rsidR="00A03245" w:rsidRPr="0074630C" w:rsidRDefault="00FD541A">
      <w:pPr>
        <w:pStyle w:val="DFARS"/>
        <w:rPr>
          <w:rFonts w:cs="Courier New"/>
          <w:szCs w:val="24"/>
        </w:rPr>
      </w:pPr>
      <w:r w:rsidRPr="0074630C">
        <w:rPr>
          <w:rFonts w:cs="Courier New"/>
          <w:b/>
          <w:szCs w:val="24"/>
        </w:rPr>
        <w:tab/>
      </w:r>
      <w:r w:rsidRPr="0074630C">
        <w:rPr>
          <w:rFonts w:cs="Courier New"/>
          <w:b/>
          <w:szCs w:val="24"/>
        </w:rPr>
        <w:tab/>
      </w:r>
      <w:r w:rsidRPr="0074630C">
        <w:rPr>
          <w:rFonts w:cs="Courier New"/>
          <w:b/>
          <w:szCs w:val="24"/>
        </w:rPr>
        <w:tab/>
      </w:r>
      <w:r w:rsidRPr="0074630C">
        <w:rPr>
          <w:rFonts w:cs="Courier New"/>
          <w:szCs w:val="24"/>
        </w:rPr>
        <w:t>(A)</w:t>
      </w:r>
      <w:r w:rsidR="002F033A" w:rsidRPr="00D53BE3">
        <w:rPr>
          <w:rFonts w:cs="Courier New"/>
          <w:szCs w:val="24"/>
        </w:rPr>
        <w:t xml:space="preserve"> </w:t>
      </w:r>
      <w:r w:rsidR="00EE1B2A" w:rsidRPr="00D53BE3">
        <w:rPr>
          <w:rFonts w:cs="Courier New"/>
          <w:szCs w:val="24"/>
        </w:rPr>
        <w:t xml:space="preserve"> </w:t>
      </w:r>
      <w:r w:rsidR="00A03245" w:rsidRPr="0074630C">
        <w:rPr>
          <w:rFonts w:cs="Courier New"/>
          <w:szCs w:val="24"/>
        </w:rPr>
        <w:t xml:space="preserve">Determine in writing that the acquisition meets the commercial </w:t>
      </w:r>
      <w:proofErr w:type="gramStart"/>
      <w:r w:rsidR="00A03245" w:rsidRPr="0034522F">
        <w:rPr>
          <w:rFonts w:cs="Courier New"/>
          <w:strike/>
          <w:szCs w:val="24"/>
        </w:rPr>
        <w:t>item</w:t>
      </w:r>
      <w:r w:rsidR="008170F1">
        <w:rPr>
          <w:rFonts w:cs="Courier New"/>
          <w:b/>
          <w:szCs w:val="24"/>
        </w:rPr>
        <w:t>[</w:t>
      </w:r>
      <w:proofErr w:type="gramEnd"/>
      <w:r w:rsidR="008170F1">
        <w:rPr>
          <w:rFonts w:cs="Courier New"/>
          <w:b/>
          <w:szCs w:val="24"/>
        </w:rPr>
        <w:t>product or commercial service]</w:t>
      </w:r>
      <w:r w:rsidR="00D53102" w:rsidRPr="0074630C">
        <w:rPr>
          <w:rFonts w:cs="Courier New"/>
          <w:szCs w:val="24"/>
        </w:rPr>
        <w:t xml:space="preserve"> </w:t>
      </w:r>
      <w:r w:rsidR="00A03245" w:rsidRPr="0074630C">
        <w:rPr>
          <w:rFonts w:cs="Courier New"/>
          <w:szCs w:val="24"/>
        </w:rPr>
        <w:t>definition in FAR 2.101</w:t>
      </w:r>
      <w:r w:rsidR="00A03245" w:rsidRPr="00D53BE3">
        <w:rPr>
          <w:rFonts w:cs="Courier New"/>
          <w:szCs w:val="24"/>
        </w:rPr>
        <w:t>;</w:t>
      </w:r>
    </w:p>
    <w:p w14:paraId="49F41A46" w14:textId="77777777" w:rsidR="00A03245" w:rsidRPr="0074630C" w:rsidRDefault="00A03245">
      <w:pPr>
        <w:pStyle w:val="DFARS"/>
        <w:rPr>
          <w:rFonts w:cs="Courier New"/>
          <w:szCs w:val="24"/>
        </w:rPr>
      </w:pPr>
    </w:p>
    <w:p w14:paraId="34A0D1A9" w14:textId="719E868F" w:rsidR="00A03245" w:rsidRPr="00701EF3" w:rsidRDefault="00A03245">
      <w:pPr>
        <w:pStyle w:val="DFARS"/>
        <w:rPr>
          <w:rFonts w:cs="Courier New"/>
          <w:strike/>
          <w:szCs w:val="24"/>
        </w:rPr>
      </w:pPr>
      <w:r w:rsidRPr="0074630C">
        <w:rPr>
          <w:rFonts w:cs="Courier New"/>
          <w:szCs w:val="24"/>
        </w:rPr>
        <w:tab/>
      </w:r>
      <w:r w:rsidRPr="0074630C">
        <w:rPr>
          <w:rFonts w:cs="Courier New"/>
          <w:szCs w:val="24"/>
        </w:rPr>
        <w:tab/>
      </w:r>
      <w:r w:rsidRPr="001841A9">
        <w:rPr>
          <w:rFonts w:cs="Courier New"/>
          <w:szCs w:val="24"/>
        </w:rPr>
        <w:tab/>
      </w:r>
      <w:r w:rsidR="00FD541A" w:rsidRPr="001841A9">
        <w:rPr>
          <w:rFonts w:cs="Courier New"/>
          <w:szCs w:val="24"/>
        </w:rPr>
        <w:t xml:space="preserve">(B) </w:t>
      </w:r>
      <w:r w:rsidRPr="001841A9">
        <w:rPr>
          <w:rFonts w:cs="Courier New"/>
          <w:szCs w:val="24"/>
        </w:rPr>
        <w:t xml:space="preserve"> Include the written determination in the contract file; </w:t>
      </w:r>
      <w:r w:rsidRPr="00701EF3">
        <w:rPr>
          <w:rFonts w:cs="Courier New"/>
          <w:strike/>
          <w:szCs w:val="24"/>
        </w:rPr>
        <w:t>and</w:t>
      </w:r>
    </w:p>
    <w:p w14:paraId="18981F42" w14:textId="77777777" w:rsidR="00A03245" w:rsidRPr="001841A9" w:rsidRDefault="00A03245">
      <w:pPr>
        <w:pStyle w:val="DFARS"/>
        <w:rPr>
          <w:rFonts w:cs="Courier New"/>
          <w:szCs w:val="24"/>
        </w:rPr>
      </w:pPr>
    </w:p>
    <w:p w14:paraId="1EF3D8CE" w14:textId="482E0286" w:rsidR="00A03245" w:rsidRPr="0074630C" w:rsidRDefault="00A03245">
      <w:pPr>
        <w:pStyle w:val="DFARS"/>
        <w:rPr>
          <w:rFonts w:cs="Courier New"/>
          <w:b/>
          <w:szCs w:val="24"/>
        </w:rPr>
      </w:pPr>
      <w:r w:rsidRPr="001841A9">
        <w:rPr>
          <w:rFonts w:cs="Courier New"/>
          <w:szCs w:val="24"/>
        </w:rPr>
        <w:tab/>
      </w:r>
      <w:r w:rsidRPr="001841A9">
        <w:rPr>
          <w:rFonts w:cs="Courier New"/>
          <w:szCs w:val="24"/>
        </w:rPr>
        <w:tab/>
      </w:r>
      <w:r w:rsidRPr="001841A9">
        <w:rPr>
          <w:rFonts w:cs="Courier New"/>
          <w:szCs w:val="24"/>
        </w:rPr>
        <w:tab/>
      </w:r>
      <w:r w:rsidR="00FD541A" w:rsidRPr="001841A9">
        <w:rPr>
          <w:rFonts w:cs="Courier New"/>
          <w:szCs w:val="24"/>
        </w:rPr>
        <w:t>(C</w:t>
      </w:r>
      <w:r w:rsidR="00D6544D" w:rsidRPr="001841A9">
        <w:rPr>
          <w:rFonts w:cs="Courier New"/>
          <w:szCs w:val="24"/>
        </w:rPr>
        <w:t>)</w:t>
      </w:r>
      <w:r w:rsidR="003133A8" w:rsidRPr="00D53BE3">
        <w:rPr>
          <w:rFonts w:cs="Courier New"/>
          <w:szCs w:val="24"/>
        </w:rPr>
        <w:t xml:space="preserve"> </w:t>
      </w:r>
      <w:r w:rsidR="00C82A79">
        <w:rPr>
          <w:rFonts w:cs="Courier New"/>
          <w:szCs w:val="24"/>
        </w:rPr>
        <w:t xml:space="preserve"> </w:t>
      </w:r>
      <w:r w:rsidRPr="001841A9">
        <w:rPr>
          <w:rFonts w:cs="Courier New"/>
          <w:szCs w:val="24"/>
        </w:rPr>
        <w:t xml:space="preserve">Obtain approval at one </w:t>
      </w:r>
      <w:r w:rsidR="00B4625A" w:rsidRPr="001841A9">
        <w:rPr>
          <w:rFonts w:cs="Courier New"/>
          <w:szCs w:val="24"/>
        </w:rPr>
        <w:t xml:space="preserve">level </w:t>
      </w:r>
      <w:r w:rsidRPr="001841A9">
        <w:rPr>
          <w:rFonts w:cs="Courier New"/>
          <w:szCs w:val="24"/>
        </w:rPr>
        <w:t>above the contracting officer when a commer</w:t>
      </w:r>
      <w:r w:rsidRPr="0074630C">
        <w:rPr>
          <w:rFonts w:cs="Courier New"/>
          <w:szCs w:val="24"/>
        </w:rPr>
        <w:t xml:space="preserve">cial item determination relies on </w:t>
      </w:r>
      <w:r w:rsidRPr="00D53BE3">
        <w:rPr>
          <w:rFonts w:cs="Courier New"/>
          <w:strike/>
          <w:szCs w:val="24"/>
        </w:rPr>
        <w:t>subsections</w:t>
      </w:r>
      <w:r w:rsidR="005A7240" w:rsidRPr="00D53BE3">
        <w:rPr>
          <w:rFonts w:cs="Courier New"/>
          <w:b/>
          <w:bCs/>
          <w:szCs w:val="24"/>
        </w:rPr>
        <w:t>[paragraphs</w:t>
      </w:r>
      <w:r w:rsidR="006E3A27" w:rsidRPr="00D53BE3">
        <w:rPr>
          <w:rFonts w:cs="Courier New"/>
          <w:b/>
          <w:bCs/>
          <w:szCs w:val="24"/>
        </w:rPr>
        <w:t>]</w:t>
      </w:r>
      <w:r w:rsidRPr="00D53BE3">
        <w:rPr>
          <w:rFonts w:cs="Courier New"/>
          <w:b/>
          <w:bCs/>
          <w:szCs w:val="24"/>
        </w:rPr>
        <w:t xml:space="preserve"> </w:t>
      </w:r>
      <w:r w:rsidRPr="0074630C">
        <w:rPr>
          <w:rFonts w:cs="Courier New"/>
          <w:szCs w:val="24"/>
        </w:rPr>
        <w:t>(1)(ii), (3),</w:t>
      </w:r>
      <w:r w:rsidR="00512BCE">
        <w:rPr>
          <w:rFonts w:cs="Courier New"/>
          <w:szCs w:val="24"/>
        </w:rPr>
        <w:t xml:space="preserve"> </w:t>
      </w:r>
      <w:r w:rsidR="00512BCE">
        <w:rPr>
          <w:rFonts w:cs="Courier New"/>
          <w:b/>
          <w:szCs w:val="24"/>
        </w:rPr>
        <w:t>[or]</w:t>
      </w:r>
      <w:r w:rsidRPr="0074630C">
        <w:rPr>
          <w:rFonts w:cs="Courier New"/>
          <w:szCs w:val="24"/>
        </w:rPr>
        <w:t xml:space="preserve"> (4)</w:t>
      </w:r>
      <w:r w:rsidRPr="0034522F">
        <w:rPr>
          <w:rFonts w:cs="Courier New"/>
          <w:strike/>
          <w:szCs w:val="24"/>
        </w:rPr>
        <w:t>, or (6)</w:t>
      </w:r>
      <w:r w:rsidRPr="0074630C">
        <w:rPr>
          <w:rFonts w:cs="Courier New"/>
          <w:szCs w:val="24"/>
        </w:rPr>
        <w:t xml:space="preserve"> of the “commercial </w:t>
      </w:r>
      <w:r w:rsidRPr="0034522F">
        <w:rPr>
          <w:rFonts w:cs="Courier New"/>
          <w:strike/>
          <w:szCs w:val="24"/>
        </w:rPr>
        <w:t>item</w:t>
      </w:r>
      <w:r w:rsidR="00512BCE">
        <w:rPr>
          <w:rFonts w:cs="Courier New"/>
          <w:b/>
          <w:szCs w:val="24"/>
        </w:rPr>
        <w:t>[product]</w:t>
      </w:r>
      <w:r w:rsidRPr="0074630C">
        <w:rPr>
          <w:rFonts w:cs="Courier New"/>
          <w:szCs w:val="24"/>
        </w:rPr>
        <w:t>” definition at FAR 2.</w:t>
      </w:r>
      <w:proofErr w:type="gramStart"/>
      <w:r w:rsidRPr="0074630C">
        <w:rPr>
          <w:rFonts w:cs="Courier New"/>
          <w:szCs w:val="24"/>
        </w:rPr>
        <w:t>101</w:t>
      </w:r>
      <w:r w:rsidRPr="0074630C">
        <w:rPr>
          <w:rFonts w:cs="Courier New"/>
          <w:strike/>
          <w:szCs w:val="24"/>
        </w:rPr>
        <w:t>.</w:t>
      </w:r>
      <w:r w:rsidR="00B4625A" w:rsidRPr="0074630C">
        <w:rPr>
          <w:rFonts w:cs="Courier New"/>
          <w:b/>
          <w:szCs w:val="24"/>
        </w:rPr>
        <w:t>[</w:t>
      </w:r>
      <w:proofErr w:type="gramEnd"/>
      <w:r w:rsidR="00512BCE">
        <w:rPr>
          <w:rFonts w:cs="Courier New"/>
          <w:b/>
          <w:szCs w:val="24"/>
        </w:rPr>
        <w:t xml:space="preserve"> or paragraph (2) of the “commercial service” definition at FAR 2.101</w:t>
      </w:r>
      <w:r w:rsidR="00B4625A" w:rsidRPr="0074630C">
        <w:rPr>
          <w:rFonts w:cs="Courier New"/>
          <w:b/>
          <w:szCs w:val="24"/>
        </w:rPr>
        <w:t>; and]</w:t>
      </w:r>
    </w:p>
    <w:p w14:paraId="5D48B4EE" w14:textId="77777777" w:rsidR="009067FF" w:rsidRDefault="009067FF">
      <w:pPr>
        <w:pStyle w:val="DFARS"/>
        <w:rPr>
          <w:rFonts w:cs="Courier New"/>
          <w:b/>
          <w:szCs w:val="24"/>
        </w:rPr>
      </w:pPr>
    </w:p>
    <w:p w14:paraId="72119C5B" w14:textId="0E704925" w:rsidR="00A03245" w:rsidRPr="0074630C" w:rsidRDefault="00A03245">
      <w:pPr>
        <w:pStyle w:val="DFARS"/>
        <w:rPr>
          <w:rFonts w:cs="Arial"/>
          <w:szCs w:val="24"/>
        </w:rPr>
      </w:pPr>
      <w:r w:rsidRPr="0074630C">
        <w:rPr>
          <w:rFonts w:cs="Courier New"/>
          <w:szCs w:val="24"/>
        </w:rPr>
        <w:tab/>
      </w:r>
      <w:r w:rsidRPr="0074630C">
        <w:rPr>
          <w:rFonts w:cs="Courier New"/>
          <w:szCs w:val="24"/>
        </w:rPr>
        <w:tab/>
      </w:r>
      <w:r w:rsidRPr="0074630C">
        <w:rPr>
          <w:rFonts w:cs="Courier New"/>
          <w:szCs w:val="24"/>
        </w:rPr>
        <w:tab/>
      </w:r>
      <w:r w:rsidRPr="001841A9">
        <w:rPr>
          <w:rFonts w:cs="Courier New"/>
          <w:szCs w:val="24"/>
        </w:rPr>
        <w:t xml:space="preserve">(D) </w:t>
      </w:r>
      <w:r w:rsidR="00C82A79">
        <w:rPr>
          <w:rFonts w:cs="Courier New"/>
          <w:szCs w:val="24"/>
        </w:rPr>
        <w:t xml:space="preserve"> </w:t>
      </w:r>
      <w:r w:rsidRPr="0074630C">
        <w:rPr>
          <w:rFonts w:cs="Courier New"/>
          <w:szCs w:val="24"/>
        </w:rPr>
        <w:t xml:space="preserve">Follow the procedures and guidance at </w:t>
      </w:r>
      <w:hyperlink r:id="rId11" w:anchor="212.102" w:history="1">
        <w:r w:rsidRPr="0074630C">
          <w:rPr>
            <w:rStyle w:val="Hyperlink"/>
            <w:rFonts w:cs="Courier New"/>
            <w:szCs w:val="24"/>
            <w:u w:val="none"/>
          </w:rPr>
          <w:t>PGI 212.102</w:t>
        </w:r>
      </w:hyperlink>
      <w:r w:rsidRPr="0074630C">
        <w:rPr>
          <w:rFonts w:cs="Courier New"/>
          <w:szCs w:val="24"/>
        </w:rPr>
        <w:t>(a)</w:t>
      </w:r>
      <w:r w:rsidRPr="0074630C">
        <w:rPr>
          <w:rFonts w:cs="Arial"/>
          <w:szCs w:val="24"/>
        </w:rPr>
        <w:t>(</w:t>
      </w:r>
      <w:proofErr w:type="spellStart"/>
      <w:r w:rsidRPr="0074630C">
        <w:rPr>
          <w:rFonts w:cs="Arial"/>
          <w:szCs w:val="24"/>
        </w:rPr>
        <w:t>i</w:t>
      </w:r>
      <w:proofErr w:type="spellEnd"/>
      <w:r w:rsidR="004F7B0F" w:rsidRPr="0074630C">
        <w:rPr>
          <w:rFonts w:cs="Arial"/>
          <w:b/>
          <w:szCs w:val="24"/>
        </w:rPr>
        <w:t>[</w:t>
      </w:r>
      <w:r w:rsidR="002F033A" w:rsidRPr="0074630C">
        <w:rPr>
          <w:rFonts w:cs="Arial"/>
          <w:b/>
          <w:szCs w:val="24"/>
        </w:rPr>
        <w:t>i</w:t>
      </w:r>
      <w:r w:rsidR="004F7B0F" w:rsidRPr="0074630C">
        <w:rPr>
          <w:rFonts w:cs="Arial"/>
          <w:b/>
          <w:szCs w:val="24"/>
        </w:rPr>
        <w:t>i]</w:t>
      </w:r>
      <w:r w:rsidRPr="0074630C">
        <w:rPr>
          <w:rFonts w:cs="Arial"/>
          <w:szCs w:val="24"/>
        </w:rPr>
        <w:t>) regarding file documentation and commercial item determinations.</w:t>
      </w:r>
    </w:p>
    <w:p w14:paraId="04D337E6" w14:textId="02F16D92" w:rsidR="004F7B0F" w:rsidRPr="0074630C" w:rsidRDefault="004F7B0F">
      <w:pPr>
        <w:pStyle w:val="DFARS"/>
        <w:rPr>
          <w:rFonts w:cs="Arial"/>
          <w:szCs w:val="24"/>
        </w:rPr>
      </w:pPr>
    </w:p>
    <w:p w14:paraId="6F81C387" w14:textId="04B2C711" w:rsidR="00DD5C76" w:rsidRPr="0074630C" w:rsidRDefault="004F7B0F">
      <w:pPr>
        <w:pStyle w:val="DFARS"/>
        <w:rPr>
          <w:rFonts w:cs="Arial"/>
          <w:strike/>
          <w:szCs w:val="24"/>
        </w:rPr>
      </w:pPr>
      <w:r w:rsidRPr="0074630C">
        <w:rPr>
          <w:rFonts w:cs="Arial"/>
          <w:strike/>
          <w:szCs w:val="24"/>
        </w:rPr>
        <w:tab/>
      </w:r>
      <w:r w:rsidR="00C82A79">
        <w:rPr>
          <w:rFonts w:cs="Arial"/>
          <w:strike/>
          <w:szCs w:val="24"/>
        </w:rPr>
        <w:tab/>
      </w:r>
      <w:r w:rsidR="00DD5C76" w:rsidRPr="0074630C">
        <w:rPr>
          <w:rFonts w:cs="Arial"/>
          <w:strike/>
          <w:szCs w:val="24"/>
        </w:rPr>
        <w:t xml:space="preserve">(ii)  </w:t>
      </w:r>
      <w:r w:rsidR="00DD5C76" w:rsidRPr="0074630C">
        <w:rPr>
          <w:rFonts w:cs="Arial"/>
          <w:i/>
          <w:strike/>
          <w:szCs w:val="24"/>
        </w:rPr>
        <w:t>Pri</w:t>
      </w:r>
      <w:r w:rsidR="00641FF5">
        <w:rPr>
          <w:rFonts w:cs="Arial"/>
          <w:i/>
          <w:strike/>
          <w:szCs w:val="24"/>
        </w:rPr>
        <w:t>or commercial item determinatio</w:t>
      </w:r>
      <w:r w:rsidR="006E3A27">
        <w:rPr>
          <w:rFonts w:cs="Arial"/>
          <w:i/>
          <w:strike/>
          <w:szCs w:val="24"/>
        </w:rPr>
        <w:t>n</w:t>
      </w:r>
      <w:r w:rsidR="00DD5C76" w:rsidRPr="0074630C">
        <w:rPr>
          <w:rFonts w:cs="Arial"/>
          <w:i/>
          <w:strike/>
          <w:szCs w:val="24"/>
        </w:rPr>
        <w:t xml:space="preserve">. </w:t>
      </w:r>
      <w:r w:rsidR="00DD5C76" w:rsidRPr="0074630C">
        <w:rPr>
          <w:rFonts w:cs="Arial"/>
          <w:strike/>
          <w:szCs w:val="24"/>
        </w:rPr>
        <w:t xml:space="preserve"> This section implements 10 U.S.C. 2306a(b)(4) and 10 U.S.C. 2380(b).</w:t>
      </w:r>
    </w:p>
    <w:p w14:paraId="7DFE9F8B" w14:textId="598B9A9C" w:rsidR="00FC0A9F" w:rsidRPr="0074630C" w:rsidRDefault="00FC0A9F">
      <w:pPr>
        <w:pStyle w:val="DFARS"/>
        <w:rPr>
          <w:rFonts w:cs="Arial"/>
          <w:strike/>
          <w:szCs w:val="24"/>
        </w:rPr>
      </w:pPr>
    </w:p>
    <w:p w14:paraId="1CFC3398" w14:textId="1FF0CFB5" w:rsidR="00F11F2A" w:rsidRPr="00B37291" w:rsidRDefault="00C82A79" w:rsidP="00D53BE3">
      <w:pPr>
        <w:pStyle w:val="DFARS"/>
        <w:rPr>
          <w:rFonts w:cs="Arial"/>
          <w:strike/>
          <w:szCs w:val="24"/>
        </w:rPr>
      </w:pPr>
      <w:r>
        <w:rPr>
          <w:rFonts w:cs="Arial"/>
          <w:b/>
          <w:strike/>
          <w:szCs w:val="24"/>
        </w:rPr>
        <w:tab/>
      </w:r>
      <w:r>
        <w:rPr>
          <w:rFonts w:cs="Arial"/>
          <w:b/>
          <w:strike/>
          <w:szCs w:val="24"/>
        </w:rPr>
        <w:tab/>
      </w:r>
      <w:r w:rsidR="00252A28" w:rsidRPr="00B37291">
        <w:rPr>
          <w:rFonts w:cs="Arial"/>
          <w:b/>
          <w:strike/>
          <w:szCs w:val="24"/>
        </w:rPr>
        <w:tab/>
      </w:r>
      <w:r w:rsidR="00252A28" w:rsidRPr="00B37291">
        <w:rPr>
          <w:rFonts w:cs="Arial"/>
          <w:strike/>
          <w:szCs w:val="24"/>
        </w:rPr>
        <w:t>(A)</w:t>
      </w:r>
      <w:r w:rsidR="00C46E5A">
        <w:rPr>
          <w:rFonts w:cs="Arial"/>
          <w:strike/>
          <w:szCs w:val="24"/>
        </w:rPr>
        <w:t xml:space="preserve">  </w:t>
      </w:r>
      <w:r w:rsidR="00DD5C76" w:rsidRPr="00B37291">
        <w:rPr>
          <w:rFonts w:cs="Arial"/>
          <w:strike/>
          <w:szCs w:val="24"/>
        </w:rPr>
        <w:t>The contracting officer may presume that a prior commercial item determination made by a military department, a defense agency, or another component of DoD shall serve as a determination for subsequent procurements of such item.</w:t>
      </w:r>
      <w:r w:rsidR="00D512C1" w:rsidRPr="00B37291">
        <w:rPr>
          <w:rFonts w:cs="Arial"/>
          <w:strike/>
          <w:szCs w:val="24"/>
        </w:rPr>
        <w:t xml:space="preserve">  </w:t>
      </w:r>
      <w:r w:rsidR="00F11F2A" w:rsidRPr="00B37291">
        <w:rPr>
          <w:rFonts w:cs="Arial"/>
          <w:strike/>
          <w:szCs w:val="24"/>
        </w:rPr>
        <w:t xml:space="preserve">See </w:t>
      </w:r>
      <w:hyperlink r:id="rId12" w:anchor="212.102" w:history="1">
        <w:r w:rsidR="00F11F2A" w:rsidRPr="00B37291">
          <w:rPr>
            <w:rStyle w:val="Hyperlink"/>
            <w:rFonts w:cs="Arial"/>
            <w:strike/>
            <w:szCs w:val="24"/>
            <w:u w:val="none"/>
          </w:rPr>
          <w:t>PGI 212.102</w:t>
        </w:r>
      </w:hyperlink>
      <w:r w:rsidR="00F11F2A" w:rsidRPr="00B37291">
        <w:rPr>
          <w:rFonts w:cs="Arial"/>
          <w:strike/>
          <w:szCs w:val="24"/>
        </w:rPr>
        <w:t>(a)(ii) for information about items that the Department has historically acquired as military unique, noncommercial items.</w:t>
      </w:r>
    </w:p>
    <w:p w14:paraId="18784A98" w14:textId="77777777" w:rsidR="00DD5C76" w:rsidRPr="00B37291" w:rsidRDefault="00DD5C76">
      <w:pPr>
        <w:pStyle w:val="DFARS"/>
        <w:rPr>
          <w:rFonts w:cs="Arial"/>
          <w:strike/>
          <w:szCs w:val="24"/>
        </w:rPr>
      </w:pPr>
    </w:p>
    <w:p w14:paraId="57707976" w14:textId="2A9219A6" w:rsidR="00C30D45" w:rsidRPr="0074630C" w:rsidRDefault="00D512C1">
      <w:pPr>
        <w:pStyle w:val="DFARS"/>
        <w:rPr>
          <w:rFonts w:cs="Arial"/>
          <w:strike/>
          <w:szCs w:val="24"/>
        </w:rPr>
      </w:pPr>
      <w:r>
        <w:rPr>
          <w:rFonts w:cs="Arial"/>
          <w:b/>
          <w:strike/>
          <w:szCs w:val="24"/>
        </w:rPr>
        <w:tab/>
      </w:r>
      <w:r w:rsidR="00C82A79">
        <w:rPr>
          <w:rFonts w:cs="Arial"/>
          <w:b/>
          <w:strike/>
          <w:szCs w:val="24"/>
        </w:rPr>
        <w:tab/>
      </w:r>
      <w:r w:rsidR="00C82A79">
        <w:rPr>
          <w:rFonts w:cs="Arial"/>
          <w:b/>
          <w:strike/>
          <w:szCs w:val="24"/>
        </w:rPr>
        <w:tab/>
      </w:r>
      <w:r w:rsidRPr="00D512C1">
        <w:rPr>
          <w:rFonts w:cs="Arial"/>
          <w:strike/>
          <w:szCs w:val="24"/>
        </w:rPr>
        <w:t xml:space="preserve">(B) </w:t>
      </w:r>
      <w:r w:rsidR="00C46E5A">
        <w:rPr>
          <w:rFonts w:cs="Arial"/>
          <w:strike/>
          <w:szCs w:val="24"/>
        </w:rPr>
        <w:t xml:space="preserve"> </w:t>
      </w:r>
      <w:r w:rsidR="00C30D45" w:rsidRPr="00D512C1">
        <w:rPr>
          <w:rFonts w:cs="Arial"/>
          <w:strike/>
          <w:szCs w:val="24"/>
        </w:rPr>
        <w:t>If the contracting officer does not make the presumption that a prior commercial item determination is valid,</w:t>
      </w:r>
      <w:r w:rsidR="00C46E5A">
        <w:rPr>
          <w:rFonts w:cs="Arial"/>
          <w:strike/>
          <w:szCs w:val="24"/>
        </w:rPr>
        <w:t xml:space="preserve"> </w:t>
      </w:r>
      <w:r w:rsidR="00C30D45" w:rsidRPr="0074630C">
        <w:rPr>
          <w:rFonts w:cs="Arial"/>
          <w:strike/>
          <w:szCs w:val="24"/>
        </w:rPr>
        <w:t xml:space="preserve">and instead chooses to proceed with a </w:t>
      </w:r>
      <w:r w:rsidR="00C30D45" w:rsidRPr="0074630C">
        <w:rPr>
          <w:rFonts w:cs="Arial"/>
          <w:strike/>
          <w:szCs w:val="24"/>
        </w:rPr>
        <w:lastRenderedPageBreak/>
        <w:t xml:space="preserve">procurement of an item previously determined to be a commercial item using procedures other </w:t>
      </w:r>
      <w:proofErr w:type="gramStart"/>
      <w:r w:rsidR="00C30D45" w:rsidRPr="0074630C">
        <w:rPr>
          <w:rFonts w:cs="Arial"/>
          <w:strike/>
          <w:szCs w:val="24"/>
        </w:rPr>
        <w:t xml:space="preserve">than </w:t>
      </w:r>
      <w:r w:rsidR="004F1177" w:rsidRPr="0074630C">
        <w:rPr>
          <w:rFonts w:cs="Arial"/>
          <w:strike/>
          <w:szCs w:val="24"/>
        </w:rPr>
        <w:t xml:space="preserve"> </w:t>
      </w:r>
      <w:r w:rsidR="00C30D45" w:rsidRPr="0074630C">
        <w:rPr>
          <w:rFonts w:cs="Arial"/>
          <w:strike/>
          <w:szCs w:val="24"/>
        </w:rPr>
        <w:t>procedures</w:t>
      </w:r>
      <w:proofErr w:type="gramEnd"/>
      <w:r w:rsidR="00C30D45" w:rsidRPr="0074630C">
        <w:rPr>
          <w:rFonts w:cs="Arial"/>
          <w:strike/>
          <w:szCs w:val="24"/>
        </w:rPr>
        <w:t xml:space="preserve"> authorized for the procurement of a commercial item</w:t>
      </w:r>
      <w:r w:rsidR="004F1177" w:rsidRPr="0074630C">
        <w:rPr>
          <w:rFonts w:cs="Arial"/>
          <w:b/>
          <w:strike/>
          <w:szCs w:val="24"/>
        </w:rPr>
        <w:t>,</w:t>
      </w:r>
      <w:r w:rsidR="00C30D45" w:rsidRPr="0074630C">
        <w:rPr>
          <w:rFonts w:cs="Arial"/>
          <w:strike/>
          <w:szCs w:val="24"/>
        </w:rPr>
        <w:t>, the contracting officer shall request a review of the commercial item</w:t>
      </w:r>
      <w:r w:rsidR="004F1177" w:rsidRPr="0074630C">
        <w:rPr>
          <w:rFonts w:cs="Arial"/>
          <w:strike/>
          <w:szCs w:val="24"/>
        </w:rPr>
        <w:t xml:space="preserve"> </w:t>
      </w:r>
      <w:r w:rsidR="00C30D45" w:rsidRPr="0074630C">
        <w:rPr>
          <w:rFonts w:cs="Arial"/>
          <w:strike/>
          <w:szCs w:val="24"/>
        </w:rPr>
        <w:t>determination by the head of the contracting activity that will conduct the procurement.  Not later than 30 days after receiving a request for review of a commercial item determination, the head of a contracting activity shall—</w:t>
      </w:r>
    </w:p>
    <w:p w14:paraId="10F07A1D" w14:textId="77777777" w:rsidR="00C30D45" w:rsidRPr="0074630C" w:rsidRDefault="00C30D45">
      <w:pPr>
        <w:pStyle w:val="DFARS"/>
        <w:rPr>
          <w:rFonts w:cs="Arial"/>
          <w:strike/>
          <w:szCs w:val="24"/>
        </w:rPr>
      </w:pPr>
    </w:p>
    <w:p w14:paraId="748960A1" w14:textId="598346DB" w:rsidR="00C30D45" w:rsidRPr="0074630C" w:rsidRDefault="00C30D45">
      <w:pPr>
        <w:pStyle w:val="DFARS"/>
        <w:rPr>
          <w:rFonts w:cs="Arial"/>
          <w:strike/>
          <w:szCs w:val="24"/>
        </w:rPr>
      </w:pPr>
      <w:r w:rsidRPr="0074630C">
        <w:rPr>
          <w:rFonts w:cs="Arial"/>
          <w:strike/>
          <w:szCs w:val="24"/>
        </w:rPr>
        <w:tab/>
      </w:r>
      <w:r w:rsidRPr="0074630C">
        <w:rPr>
          <w:rFonts w:cs="Arial"/>
          <w:strike/>
          <w:szCs w:val="24"/>
        </w:rPr>
        <w:tab/>
      </w:r>
      <w:r w:rsidRPr="0074630C">
        <w:rPr>
          <w:rFonts w:cs="Arial"/>
          <w:strike/>
          <w:szCs w:val="24"/>
        </w:rPr>
        <w:tab/>
      </w:r>
      <w:r w:rsidRPr="0074630C">
        <w:rPr>
          <w:rFonts w:cs="Arial"/>
          <w:strike/>
          <w:szCs w:val="24"/>
        </w:rPr>
        <w:tab/>
        <w:t>(</w:t>
      </w:r>
      <w:r w:rsidRPr="0074630C">
        <w:rPr>
          <w:rFonts w:cs="Arial"/>
          <w:i/>
          <w:strike/>
          <w:szCs w:val="24"/>
        </w:rPr>
        <w:t>1</w:t>
      </w:r>
      <w:r w:rsidRPr="0074630C">
        <w:rPr>
          <w:rFonts w:cs="Arial"/>
          <w:strike/>
          <w:szCs w:val="24"/>
        </w:rPr>
        <w:t xml:space="preserve">)  Confirm that the prior determination </w:t>
      </w:r>
      <w:r w:rsidR="00D512C1">
        <w:rPr>
          <w:rFonts w:cs="Arial"/>
          <w:strike/>
          <w:szCs w:val="24"/>
        </w:rPr>
        <w:t>a</w:t>
      </w:r>
      <w:r w:rsidRPr="0074630C">
        <w:rPr>
          <w:rFonts w:cs="Arial"/>
          <w:strike/>
          <w:szCs w:val="24"/>
        </w:rPr>
        <w:t>ppropriate and still applicable; or</w:t>
      </w:r>
    </w:p>
    <w:p w14:paraId="554D063C" w14:textId="77777777" w:rsidR="00C30D45" w:rsidRPr="0074630C" w:rsidRDefault="00C30D45">
      <w:pPr>
        <w:pStyle w:val="DFARS"/>
        <w:rPr>
          <w:rFonts w:cs="Arial"/>
          <w:strike/>
          <w:szCs w:val="24"/>
        </w:rPr>
      </w:pPr>
    </w:p>
    <w:p w14:paraId="06F50E7B" w14:textId="4CB418D1" w:rsidR="00C30D45" w:rsidRPr="009623BA" w:rsidRDefault="00C30D45">
      <w:pPr>
        <w:pStyle w:val="DFARS"/>
        <w:rPr>
          <w:rFonts w:cs="Arial"/>
          <w:strike/>
          <w:szCs w:val="24"/>
        </w:rPr>
      </w:pPr>
      <w:r w:rsidRPr="0074630C">
        <w:rPr>
          <w:rFonts w:cs="Arial"/>
          <w:strike/>
          <w:szCs w:val="24"/>
        </w:rPr>
        <w:tab/>
      </w:r>
      <w:r w:rsidRPr="0074630C">
        <w:rPr>
          <w:rFonts w:cs="Arial"/>
          <w:strike/>
          <w:szCs w:val="24"/>
        </w:rPr>
        <w:tab/>
      </w:r>
      <w:r w:rsidRPr="0074630C">
        <w:rPr>
          <w:rFonts w:cs="Arial"/>
          <w:strike/>
          <w:szCs w:val="24"/>
        </w:rPr>
        <w:tab/>
      </w:r>
      <w:r w:rsidRPr="0074630C">
        <w:rPr>
          <w:rFonts w:cs="Arial"/>
          <w:strike/>
          <w:szCs w:val="24"/>
        </w:rPr>
        <w:tab/>
      </w:r>
      <w:r w:rsidRPr="009623BA">
        <w:rPr>
          <w:rFonts w:cs="Arial"/>
          <w:strike/>
          <w:szCs w:val="24"/>
        </w:rPr>
        <w:t>(</w:t>
      </w:r>
      <w:r w:rsidRPr="009623BA">
        <w:rPr>
          <w:rFonts w:cs="Arial"/>
          <w:i/>
          <w:strike/>
          <w:szCs w:val="24"/>
        </w:rPr>
        <w:t>2</w:t>
      </w:r>
      <w:r w:rsidRPr="009623BA">
        <w:rPr>
          <w:rFonts w:cs="Arial"/>
          <w:strike/>
          <w:szCs w:val="24"/>
        </w:rPr>
        <w:t xml:space="preserve">)  Issue a determination that the prior use of FAR part 12 procedures was improper or that it is no longer appropriate to acquire the item using FAR part 12 procedures, with a written explanation of the basis for the determination (see </w:t>
      </w:r>
      <w:hyperlink r:id="rId13" w:history="1">
        <w:r w:rsidRPr="009623BA">
          <w:rPr>
            <w:rStyle w:val="Hyperlink"/>
            <w:rFonts w:cs="Arial"/>
            <w:strike/>
            <w:szCs w:val="24"/>
            <w:u w:val="none"/>
          </w:rPr>
          <w:t>212.70</w:t>
        </w:r>
      </w:hyperlink>
      <w:r w:rsidRPr="009623BA">
        <w:rPr>
          <w:rFonts w:cs="Arial"/>
          <w:strike/>
          <w:szCs w:val="24"/>
        </w:rPr>
        <w:t>).</w:t>
      </w:r>
    </w:p>
    <w:p w14:paraId="28CA57BF" w14:textId="1EF5A0AF" w:rsidR="00DD5C76" w:rsidRPr="00D53BE3" w:rsidRDefault="00DD5C76" w:rsidP="00D53BE3">
      <w:pPr>
        <w:pStyle w:val="NoSpacing"/>
        <w:tabs>
          <w:tab w:val="left" w:pos="360"/>
          <w:tab w:val="left" w:pos="806"/>
          <w:tab w:val="left" w:pos="1210"/>
          <w:tab w:val="left" w:pos="1656"/>
          <w:tab w:val="left" w:pos="2131"/>
          <w:tab w:val="left" w:pos="2520"/>
        </w:tabs>
        <w:spacing w:line="240" w:lineRule="exact"/>
        <w:rPr>
          <w:rFonts w:ascii="Century Schoolbook" w:hAnsi="Century Schoolbook" w:cs="Arial"/>
          <w:strike/>
          <w:sz w:val="24"/>
          <w:szCs w:val="24"/>
        </w:rPr>
      </w:pPr>
    </w:p>
    <w:p w14:paraId="5FDC174D" w14:textId="50222374" w:rsidR="001B09B6" w:rsidRDefault="00DD5C76">
      <w:pPr>
        <w:pStyle w:val="DFARS"/>
        <w:rPr>
          <w:rFonts w:cs="Arial"/>
          <w:szCs w:val="24"/>
        </w:rPr>
      </w:pPr>
      <w:r w:rsidRPr="0074630C">
        <w:rPr>
          <w:rFonts w:cs="Arial"/>
          <w:szCs w:val="24"/>
        </w:rPr>
        <w:tab/>
      </w:r>
      <w:r w:rsidR="00EE1B2A">
        <w:rPr>
          <w:rFonts w:cs="Arial"/>
          <w:szCs w:val="24"/>
        </w:rPr>
        <w:tab/>
      </w:r>
      <w:r w:rsidRPr="0074630C">
        <w:rPr>
          <w:rFonts w:cs="Arial"/>
          <w:szCs w:val="24"/>
        </w:rPr>
        <w:t>(</w:t>
      </w:r>
      <w:r w:rsidRPr="009067FF">
        <w:rPr>
          <w:rFonts w:cs="Arial"/>
          <w:strike/>
          <w:szCs w:val="24"/>
        </w:rPr>
        <w:t>iii</w:t>
      </w:r>
      <w:r w:rsidR="00197CEF">
        <w:rPr>
          <w:rFonts w:cs="Arial"/>
          <w:b/>
          <w:szCs w:val="24"/>
        </w:rPr>
        <w:t>[</w:t>
      </w:r>
      <w:r w:rsidR="009067FF">
        <w:rPr>
          <w:rFonts w:cs="Arial"/>
          <w:b/>
          <w:szCs w:val="24"/>
        </w:rPr>
        <w:t>i</w:t>
      </w:r>
      <w:r w:rsidR="00197CEF">
        <w:rPr>
          <w:rFonts w:cs="Arial"/>
          <w:b/>
          <w:szCs w:val="24"/>
        </w:rPr>
        <w:t>v</w:t>
      </w:r>
      <w:proofErr w:type="gramStart"/>
      <w:r w:rsidR="00197CEF">
        <w:rPr>
          <w:rFonts w:cs="Arial"/>
          <w:b/>
          <w:szCs w:val="24"/>
        </w:rPr>
        <w:t>]</w:t>
      </w:r>
      <w:r w:rsidRPr="0074630C">
        <w:rPr>
          <w:rFonts w:cs="Arial"/>
          <w:szCs w:val="24"/>
        </w:rPr>
        <w:t xml:space="preserve">)  </w:t>
      </w:r>
      <w:r w:rsidRPr="0074630C">
        <w:rPr>
          <w:rFonts w:cs="Arial"/>
          <w:i/>
          <w:szCs w:val="24"/>
        </w:rPr>
        <w:t>Nontraditional</w:t>
      </w:r>
      <w:proofErr w:type="gramEnd"/>
      <w:r w:rsidRPr="0074630C">
        <w:rPr>
          <w:rFonts w:cs="Arial"/>
          <w:i/>
          <w:szCs w:val="24"/>
        </w:rPr>
        <w:t xml:space="preserve"> defense contractors.</w:t>
      </w:r>
      <w:r w:rsidRPr="0074630C">
        <w:rPr>
          <w:rFonts w:cs="Arial"/>
          <w:szCs w:val="24"/>
        </w:rPr>
        <w:t xml:space="preserve">  </w:t>
      </w:r>
      <w:r w:rsidR="00B32CF1">
        <w:rPr>
          <w:rFonts w:cs="Arial"/>
          <w:szCs w:val="24"/>
        </w:rPr>
        <w:t>In accordance with 10 U.S.C. 2380a, contracting officers</w:t>
      </w:r>
      <w:r w:rsidR="001B09B6">
        <w:rPr>
          <w:rFonts w:cs="Arial"/>
          <w:szCs w:val="24"/>
        </w:rPr>
        <w:t>—</w:t>
      </w:r>
    </w:p>
    <w:p w14:paraId="56F4E5F3" w14:textId="77777777" w:rsidR="00C46E5A" w:rsidRDefault="00C46E5A">
      <w:pPr>
        <w:pStyle w:val="DFARS"/>
        <w:rPr>
          <w:rFonts w:cs="Arial"/>
          <w:szCs w:val="24"/>
        </w:rPr>
      </w:pPr>
    </w:p>
    <w:p w14:paraId="0D0A1C60" w14:textId="48B6F6BA" w:rsidR="00C46E5A" w:rsidRDefault="00820078" w:rsidP="00C46E5A">
      <w:pPr>
        <w:pStyle w:val="DFARS"/>
        <w:rPr>
          <w:rStyle w:val="apple-converted-space"/>
          <w:color w:val="000000"/>
        </w:rPr>
      </w:pPr>
      <w:r w:rsidRPr="00C46E5A">
        <w:rPr>
          <w:rStyle w:val="paren"/>
          <w:color w:val="000000"/>
        </w:rPr>
        <w:tab/>
      </w:r>
      <w:r w:rsidRPr="00C46E5A">
        <w:rPr>
          <w:rStyle w:val="paren"/>
          <w:color w:val="000000"/>
        </w:rPr>
        <w:tab/>
      </w:r>
      <w:r w:rsidRPr="00C46E5A">
        <w:rPr>
          <w:rStyle w:val="paren"/>
          <w:color w:val="000000"/>
        </w:rPr>
        <w:tab/>
        <w:t>(</w:t>
      </w:r>
      <w:r w:rsidRPr="00C46E5A">
        <w:rPr>
          <w:rStyle w:val="paragraph-hierarchy"/>
          <w:color w:val="000000"/>
        </w:rPr>
        <w:t>A</w:t>
      </w:r>
      <w:r w:rsidRPr="00C46E5A">
        <w:rPr>
          <w:rStyle w:val="paren"/>
          <w:color w:val="000000"/>
        </w:rPr>
        <w:t>)</w:t>
      </w:r>
      <w:r w:rsidRPr="00C46E5A">
        <w:rPr>
          <w:rStyle w:val="apple-converted-space"/>
          <w:color w:val="000000"/>
        </w:rPr>
        <w:t xml:space="preserve">  </w:t>
      </w:r>
      <w:r w:rsidRPr="00C46E5A">
        <w:rPr>
          <w:color w:val="000000"/>
        </w:rPr>
        <w:t>Except as provided in</w:t>
      </w:r>
      <w:r w:rsidRPr="00C46E5A">
        <w:rPr>
          <w:rStyle w:val="apple-converted-space"/>
          <w:color w:val="000000"/>
        </w:rPr>
        <w:t xml:space="preserve"> </w:t>
      </w:r>
      <w:r w:rsidRPr="00D53BE3">
        <w:rPr>
          <w:color w:val="000000"/>
        </w:rPr>
        <w:t>paragraph (a)(</w:t>
      </w:r>
      <w:r w:rsidRPr="00D53BE3">
        <w:rPr>
          <w:strike/>
          <w:color w:val="000000"/>
        </w:rPr>
        <w:t>iii</w:t>
      </w:r>
      <w:r w:rsidRPr="00D53BE3">
        <w:rPr>
          <w:b/>
          <w:bCs/>
          <w:color w:val="000000"/>
        </w:rPr>
        <w:t>[iv</w:t>
      </w:r>
      <w:proofErr w:type="gramStart"/>
      <w:r w:rsidRPr="00D53BE3">
        <w:rPr>
          <w:b/>
          <w:bCs/>
          <w:color w:val="000000"/>
        </w:rPr>
        <w:t>]</w:t>
      </w:r>
      <w:r w:rsidRPr="00D53BE3">
        <w:rPr>
          <w:color w:val="000000"/>
        </w:rPr>
        <w:t>)(</w:t>
      </w:r>
      <w:proofErr w:type="gramEnd"/>
      <w:r w:rsidRPr="00D53BE3">
        <w:rPr>
          <w:color w:val="000000"/>
        </w:rPr>
        <w:t>B)</w:t>
      </w:r>
      <w:r w:rsidRPr="00C46E5A">
        <w:rPr>
          <w:rStyle w:val="apple-converted-space"/>
          <w:color w:val="000000"/>
        </w:rPr>
        <w:t xml:space="preserve"> </w:t>
      </w:r>
      <w:r w:rsidRPr="00C46E5A">
        <w:rPr>
          <w:color w:val="000000"/>
        </w:rPr>
        <w:t xml:space="preserve">of this section, may treat supplies and services provided by nontraditional defense contractors as commercial items. </w:t>
      </w:r>
      <w:r w:rsidR="00C46E5A">
        <w:rPr>
          <w:color w:val="000000"/>
        </w:rPr>
        <w:t xml:space="preserve"> </w:t>
      </w:r>
      <w:r w:rsidRPr="00C46E5A">
        <w:rPr>
          <w:color w:val="000000"/>
        </w:rPr>
        <w:t xml:space="preserve">This permissive authority is intended to enhance defense innovation and investment, enable DoD to acquire items that otherwise might not have been available, and create incentives for nontraditional defense contractors to do business with DoD. </w:t>
      </w:r>
      <w:r w:rsidR="00C46E5A">
        <w:rPr>
          <w:color w:val="000000"/>
        </w:rPr>
        <w:t xml:space="preserve"> </w:t>
      </w:r>
      <w:r w:rsidRPr="00C46E5A">
        <w:rPr>
          <w:color w:val="000000"/>
        </w:rPr>
        <w:t xml:space="preserve">It is not intended to </w:t>
      </w:r>
      <w:proofErr w:type="spellStart"/>
      <w:r w:rsidRPr="00C46E5A">
        <w:rPr>
          <w:color w:val="000000"/>
        </w:rPr>
        <w:t>recategorize</w:t>
      </w:r>
      <w:proofErr w:type="spellEnd"/>
      <w:r w:rsidRPr="00C46E5A">
        <w:rPr>
          <w:color w:val="000000"/>
        </w:rPr>
        <w:t xml:space="preserve"> current noncommercial items; however, when appropriate, contracting officers may consider applying commercial item procedures to the procurement of supplies and services from business segments that meet the definition of “nontraditional defense contractor” even though they have been established under traditional defense contractors. </w:t>
      </w:r>
      <w:r w:rsidR="00C46E5A">
        <w:rPr>
          <w:color w:val="000000"/>
        </w:rPr>
        <w:t xml:space="preserve"> </w:t>
      </w:r>
      <w:r w:rsidRPr="00C46E5A">
        <w:rPr>
          <w:color w:val="000000"/>
        </w:rPr>
        <w:t>The decision to apply commercial item procedures to the procurement of supplies and services from nontraditional defense contractors does not require a commercial item determination and does not mean the item is commercial;</w:t>
      </w:r>
    </w:p>
    <w:p w14:paraId="0AB48149" w14:textId="77777777" w:rsidR="00C46E5A" w:rsidRDefault="00C46E5A" w:rsidP="00C46E5A">
      <w:pPr>
        <w:pStyle w:val="DFARS"/>
        <w:rPr>
          <w:rFonts w:cs="Arial"/>
          <w:szCs w:val="24"/>
        </w:rPr>
      </w:pPr>
    </w:p>
    <w:p w14:paraId="1B27DEC9" w14:textId="5EA81714" w:rsidR="00C46E5A" w:rsidRDefault="00820078" w:rsidP="00C46E5A">
      <w:pPr>
        <w:pStyle w:val="DFARS"/>
        <w:rPr>
          <w:color w:val="000000"/>
        </w:rPr>
      </w:pPr>
      <w:r w:rsidRPr="00C46E5A">
        <w:rPr>
          <w:rStyle w:val="paren"/>
          <w:color w:val="000000"/>
        </w:rPr>
        <w:tab/>
      </w:r>
      <w:r w:rsidRPr="00C46E5A">
        <w:rPr>
          <w:rStyle w:val="paren"/>
          <w:color w:val="000000"/>
        </w:rPr>
        <w:tab/>
      </w:r>
      <w:r w:rsidRPr="00C46E5A">
        <w:rPr>
          <w:rStyle w:val="paren"/>
          <w:color w:val="000000"/>
        </w:rPr>
        <w:tab/>
        <w:t>(</w:t>
      </w:r>
      <w:r w:rsidRPr="00C46E5A">
        <w:rPr>
          <w:rStyle w:val="paragraph-hierarchy"/>
          <w:color w:val="000000"/>
        </w:rPr>
        <w:t>B</w:t>
      </w:r>
      <w:r w:rsidRPr="00C46E5A">
        <w:rPr>
          <w:rStyle w:val="paren"/>
          <w:color w:val="000000"/>
        </w:rPr>
        <w:t>)</w:t>
      </w:r>
      <w:r w:rsidRPr="00C46E5A">
        <w:rPr>
          <w:rStyle w:val="apple-converted-space"/>
          <w:color w:val="000000"/>
        </w:rPr>
        <w:t xml:space="preserve">  </w:t>
      </w:r>
      <w:r w:rsidRPr="00C46E5A">
        <w:rPr>
          <w:color w:val="000000"/>
        </w:rPr>
        <w:t>Shall treat services provided by a business unit that is a nontraditional defense contractor as commercial items, to the extent that such services use the same pool of employees as used for commercial customers and are priced using methodology similar to methodology used for commercial pricing; and</w:t>
      </w:r>
    </w:p>
    <w:p w14:paraId="718A4137" w14:textId="77777777" w:rsidR="00C46E5A" w:rsidRDefault="00C46E5A" w:rsidP="00C46E5A">
      <w:pPr>
        <w:pStyle w:val="DFARS"/>
        <w:rPr>
          <w:rFonts w:cs="Arial"/>
          <w:szCs w:val="24"/>
        </w:rPr>
      </w:pPr>
    </w:p>
    <w:p w14:paraId="431F21A2" w14:textId="5D5CBCA4" w:rsidR="00C46E5A" w:rsidRDefault="00820078" w:rsidP="00C46E5A">
      <w:pPr>
        <w:pStyle w:val="DFARS"/>
        <w:rPr>
          <w:rFonts w:cs="Arial"/>
        </w:rPr>
      </w:pPr>
      <w:r w:rsidRPr="00C46E5A">
        <w:rPr>
          <w:rStyle w:val="paren"/>
          <w:color w:val="000000"/>
        </w:rPr>
        <w:tab/>
      </w:r>
      <w:r w:rsidRPr="00C46E5A">
        <w:rPr>
          <w:rStyle w:val="paren"/>
          <w:color w:val="000000"/>
        </w:rPr>
        <w:tab/>
      </w:r>
      <w:r w:rsidRPr="00C46E5A">
        <w:rPr>
          <w:rStyle w:val="paren"/>
          <w:color w:val="000000"/>
        </w:rPr>
        <w:tab/>
        <w:t>(</w:t>
      </w:r>
      <w:r w:rsidRPr="00C46E5A">
        <w:rPr>
          <w:rStyle w:val="paragraph-hierarchy"/>
          <w:color w:val="000000"/>
        </w:rPr>
        <w:t>C</w:t>
      </w:r>
      <w:r w:rsidRPr="00C46E5A">
        <w:rPr>
          <w:rStyle w:val="paren"/>
          <w:color w:val="000000"/>
        </w:rPr>
        <w:t>)</w:t>
      </w:r>
      <w:r w:rsidRPr="00C46E5A">
        <w:rPr>
          <w:rStyle w:val="apple-converted-space"/>
          <w:color w:val="000000"/>
        </w:rPr>
        <w:t xml:space="preserve">  </w:t>
      </w:r>
      <w:r w:rsidRPr="00C46E5A">
        <w:rPr>
          <w:color w:val="000000"/>
        </w:rPr>
        <w:t>Shall document the file when treating supplies or services from a nontraditional defense contractor as commercial items in accordance with</w:t>
      </w:r>
      <w:r w:rsidRPr="00C46E5A">
        <w:rPr>
          <w:rStyle w:val="apple-converted-space"/>
          <w:color w:val="000000"/>
        </w:rPr>
        <w:t xml:space="preserve"> </w:t>
      </w:r>
      <w:r w:rsidRPr="00D53BE3">
        <w:rPr>
          <w:color w:val="000000"/>
          <w:spacing w:val="0"/>
          <w:kern w:val="0"/>
          <w:szCs w:val="24"/>
        </w:rPr>
        <w:t>paragraph (a)(</w:t>
      </w:r>
      <w:r w:rsidRPr="00D53BE3">
        <w:rPr>
          <w:strike/>
          <w:color w:val="000000"/>
          <w:spacing w:val="0"/>
          <w:kern w:val="0"/>
          <w:szCs w:val="24"/>
        </w:rPr>
        <w:t>iii</w:t>
      </w:r>
      <w:r w:rsidRPr="00D53BE3">
        <w:rPr>
          <w:b/>
          <w:bCs/>
          <w:color w:val="000000"/>
          <w:spacing w:val="0"/>
          <w:kern w:val="0"/>
          <w:szCs w:val="24"/>
        </w:rPr>
        <w:t>[iv</w:t>
      </w:r>
      <w:proofErr w:type="gramStart"/>
      <w:r w:rsidRPr="00D53BE3">
        <w:rPr>
          <w:b/>
          <w:bCs/>
          <w:color w:val="000000"/>
          <w:spacing w:val="0"/>
          <w:kern w:val="0"/>
          <w:szCs w:val="24"/>
        </w:rPr>
        <w:t>]</w:t>
      </w:r>
      <w:r w:rsidRPr="00D53BE3">
        <w:rPr>
          <w:color w:val="000000"/>
          <w:spacing w:val="0"/>
          <w:kern w:val="0"/>
          <w:szCs w:val="24"/>
        </w:rPr>
        <w:t>)(</w:t>
      </w:r>
      <w:proofErr w:type="gramEnd"/>
      <w:r w:rsidRPr="00D53BE3">
        <w:rPr>
          <w:color w:val="000000"/>
          <w:spacing w:val="0"/>
          <w:kern w:val="0"/>
          <w:szCs w:val="24"/>
        </w:rPr>
        <w:t>A)</w:t>
      </w:r>
      <w:r w:rsidRPr="00C46E5A">
        <w:rPr>
          <w:rStyle w:val="apple-converted-space"/>
          <w:color w:val="000000"/>
        </w:rPr>
        <w:t xml:space="preserve"> </w:t>
      </w:r>
      <w:r w:rsidRPr="00C46E5A">
        <w:rPr>
          <w:color w:val="000000"/>
        </w:rPr>
        <w:t>or</w:t>
      </w:r>
      <w:r w:rsidRPr="00C46E5A">
        <w:rPr>
          <w:rStyle w:val="apple-converted-space"/>
          <w:color w:val="000000"/>
        </w:rPr>
        <w:t xml:space="preserve"> </w:t>
      </w:r>
      <w:r w:rsidRPr="00D53BE3">
        <w:rPr>
          <w:color w:val="000000"/>
          <w:spacing w:val="0"/>
          <w:kern w:val="0"/>
          <w:szCs w:val="24"/>
        </w:rPr>
        <w:t>(B)</w:t>
      </w:r>
      <w:r w:rsidRPr="00C46E5A">
        <w:rPr>
          <w:rStyle w:val="apple-converted-space"/>
          <w:color w:val="000000"/>
        </w:rPr>
        <w:t xml:space="preserve"> </w:t>
      </w:r>
      <w:r w:rsidRPr="00C46E5A">
        <w:rPr>
          <w:color w:val="000000"/>
        </w:rPr>
        <w:t>of this section.</w:t>
      </w:r>
    </w:p>
    <w:p w14:paraId="617FAAE1" w14:textId="77777777" w:rsidR="00E13481" w:rsidRDefault="00E13481" w:rsidP="00C46E5A">
      <w:pPr>
        <w:pStyle w:val="DFARS"/>
        <w:rPr>
          <w:rFonts w:cs="Arial"/>
          <w:szCs w:val="24"/>
        </w:rPr>
      </w:pPr>
    </w:p>
    <w:p w14:paraId="3708827F" w14:textId="49BDBB11" w:rsidR="00050976" w:rsidRDefault="00C82A79"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b/>
          <w:sz w:val="24"/>
          <w:szCs w:val="24"/>
        </w:rPr>
      </w:pPr>
      <w:r>
        <w:rPr>
          <w:rFonts w:ascii="Century Schoolbook" w:hAnsi="Century Schoolbook"/>
          <w:b/>
          <w:sz w:val="24"/>
          <w:szCs w:val="24"/>
        </w:rPr>
        <w:tab/>
      </w:r>
      <w:r w:rsidR="00EE1B2A">
        <w:rPr>
          <w:rFonts w:ascii="Century Schoolbook" w:hAnsi="Century Schoolbook"/>
          <w:b/>
          <w:sz w:val="24"/>
          <w:szCs w:val="24"/>
        </w:rPr>
        <w:tab/>
      </w:r>
      <w:r w:rsidR="000911D2">
        <w:rPr>
          <w:rFonts w:ascii="Century Schoolbook" w:hAnsi="Century Schoolbook"/>
          <w:b/>
          <w:sz w:val="24"/>
          <w:szCs w:val="24"/>
        </w:rPr>
        <w:t>[</w:t>
      </w:r>
      <w:r w:rsidR="002D7D52" w:rsidRPr="0074630C">
        <w:rPr>
          <w:rFonts w:ascii="Century Schoolbook" w:hAnsi="Century Schoolbook"/>
          <w:b/>
          <w:sz w:val="24"/>
          <w:szCs w:val="24"/>
        </w:rPr>
        <w:t>(v</w:t>
      </w:r>
      <w:proofErr w:type="gramStart"/>
      <w:r w:rsidR="002D7D52" w:rsidRPr="0074630C">
        <w:rPr>
          <w:rFonts w:ascii="Century Schoolbook" w:hAnsi="Century Schoolbook"/>
          <w:b/>
          <w:sz w:val="24"/>
          <w:szCs w:val="24"/>
        </w:rPr>
        <w:t xml:space="preserve">)  </w:t>
      </w:r>
      <w:r w:rsidR="002D7D52" w:rsidRPr="0074630C">
        <w:rPr>
          <w:rFonts w:ascii="Century Schoolbook" w:hAnsi="Century Schoolbook"/>
          <w:b/>
          <w:i/>
          <w:sz w:val="24"/>
          <w:szCs w:val="24"/>
        </w:rPr>
        <w:t>Commercial</w:t>
      </w:r>
      <w:proofErr w:type="gramEnd"/>
      <w:r w:rsidR="002D7D52" w:rsidRPr="0074630C">
        <w:rPr>
          <w:rFonts w:ascii="Century Schoolbook" w:hAnsi="Century Schoolbook"/>
          <w:b/>
          <w:i/>
          <w:sz w:val="24"/>
          <w:szCs w:val="24"/>
        </w:rPr>
        <w:t xml:space="preserve"> item </w:t>
      </w:r>
      <w:r w:rsidR="00074EA7" w:rsidRPr="0074630C">
        <w:rPr>
          <w:rFonts w:ascii="Century Schoolbook" w:hAnsi="Century Schoolbook"/>
          <w:b/>
          <w:i/>
          <w:sz w:val="24"/>
          <w:szCs w:val="24"/>
        </w:rPr>
        <w:t>guidebook</w:t>
      </w:r>
      <w:r w:rsidR="002D7D52" w:rsidRPr="0074630C">
        <w:rPr>
          <w:rFonts w:ascii="Century Schoolbook" w:hAnsi="Century Schoolbook"/>
          <w:b/>
          <w:sz w:val="24"/>
          <w:szCs w:val="24"/>
        </w:rPr>
        <w:t>.</w:t>
      </w:r>
      <w:r w:rsidR="00D00C1C" w:rsidRPr="0074630C">
        <w:rPr>
          <w:rFonts w:ascii="Century Schoolbook" w:hAnsi="Century Schoolbook"/>
          <w:b/>
          <w:sz w:val="24"/>
          <w:szCs w:val="24"/>
        </w:rPr>
        <w:t xml:space="preserve">  For </w:t>
      </w:r>
      <w:r w:rsidR="00C42BDC">
        <w:rPr>
          <w:rFonts w:ascii="Century Schoolbook" w:hAnsi="Century Schoolbook"/>
          <w:b/>
          <w:sz w:val="24"/>
          <w:szCs w:val="24"/>
        </w:rPr>
        <w:t xml:space="preserve">a link to the </w:t>
      </w:r>
      <w:r w:rsidR="00B40563">
        <w:rPr>
          <w:rFonts w:ascii="Century Schoolbook" w:hAnsi="Century Schoolbook"/>
          <w:b/>
          <w:sz w:val="24"/>
          <w:szCs w:val="24"/>
        </w:rPr>
        <w:t>c</w:t>
      </w:r>
      <w:r w:rsidR="00C42BDC">
        <w:rPr>
          <w:rFonts w:ascii="Century Schoolbook" w:hAnsi="Century Schoolbook"/>
          <w:b/>
          <w:sz w:val="24"/>
          <w:szCs w:val="24"/>
        </w:rPr>
        <w:t xml:space="preserve">ommercial </w:t>
      </w:r>
      <w:r w:rsidR="00B40563">
        <w:rPr>
          <w:rFonts w:ascii="Century Schoolbook" w:hAnsi="Century Schoolbook"/>
          <w:b/>
          <w:sz w:val="24"/>
          <w:szCs w:val="24"/>
        </w:rPr>
        <w:t>i</w:t>
      </w:r>
      <w:r w:rsidR="00C42BDC">
        <w:rPr>
          <w:rFonts w:ascii="Century Schoolbook" w:hAnsi="Century Schoolbook"/>
          <w:b/>
          <w:sz w:val="24"/>
          <w:szCs w:val="24"/>
        </w:rPr>
        <w:t xml:space="preserve">tem </w:t>
      </w:r>
      <w:r w:rsidR="00B40563">
        <w:rPr>
          <w:rFonts w:ascii="Century Schoolbook" w:hAnsi="Century Schoolbook"/>
          <w:b/>
          <w:sz w:val="24"/>
          <w:szCs w:val="24"/>
        </w:rPr>
        <w:t>g</w:t>
      </w:r>
      <w:r w:rsidR="00C42BDC">
        <w:rPr>
          <w:rFonts w:ascii="Century Schoolbook" w:hAnsi="Century Schoolbook"/>
          <w:b/>
          <w:sz w:val="24"/>
          <w:szCs w:val="24"/>
        </w:rPr>
        <w:t xml:space="preserve">uidebook, </w:t>
      </w:r>
      <w:r w:rsidR="00D00C1C" w:rsidRPr="0074630C">
        <w:rPr>
          <w:rFonts w:ascii="Century Schoolbook" w:hAnsi="Century Schoolbook"/>
          <w:b/>
          <w:sz w:val="24"/>
          <w:szCs w:val="24"/>
        </w:rPr>
        <w:t>see PGI 212.102(a)(v)</w:t>
      </w:r>
      <w:r w:rsidR="00C42BDC">
        <w:rPr>
          <w:rFonts w:ascii="Century Schoolbook" w:hAnsi="Century Schoolbook"/>
          <w:b/>
          <w:sz w:val="24"/>
          <w:szCs w:val="24"/>
        </w:rPr>
        <w:t>.]</w:t>
      </w:r>
    </w:p>
    <w:p w14:paraId="4C1C2C50" w14:textId="77777777" w:rsidR="00050976" w:rsidRDefault="00050976"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b/>
          <w:sz w:val="24"/>
          <w:szCs w:val="24"/>
        </w:rPr>
      </w:pPr>
    </w:p>
    <w:p w14:paraId="3F9F9A77" w14:textId="77777777" w:rsidR="001A3C93" w:rsidRDefault="00050976"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666C44">
        <w:rPr>
          <w:rFonts w:ascii="Century Schoolbook" w:hAnsi="Century Schoolbook"/>
          <w:sz w:val="24"/>
          <w:szCs w:val="24"/>
        </w:rPr>
        <w:t>* * * * *</w:t>
      </w:r>
    </w:p>
    <w:p w14:paraId="050310BA" w14:textId="77777777" w:rsidR="001F2C74" w:rsidRPr="001F2C74" w:rsidRDefault="001F2C74"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Times New Roman"/>
          <w:b/>
          <w:sz w:val="24"/>
          <w:szCs w:val="24"/>
        </w:rPr>
      </w:pPr>
    </w:p>
    <w:p w14:paraId="661FA7EE" w14:textId="25EFAF7D" w:rsidR="001A3C93" w:rsidRPr="00D53BE3" w:rsidRDefault="001A3C93" w:rsidP="00D53BE3">
      <w:pPr>
        <w:pStyle w:val="PlainText"/>
        <w:tabs>
          <w:tab w:val="left" w:pos="360"/>
          <w:tab w:val="left" w:pos="806"/>
          <w:tab w:val="left" w:pos="1210"/>
          <w:tab w:val="left" w:pos="1656"/>
          <w:tab w:val="left" w:pos="2131"/>
          <w:tab w:val="left" w:pos="2520"/>
        </w:tabs>
        <w:spacing w:line="240" w:lineRule="exact"/>
        <w:jc w:val="center"/>
        <w:rPr>
          <w:rFonts w:ascii="Century Schoolbook" w:hAnsi="Century Schoolbook" w:cs="Times New Roman"/>
          <w:b/>
          <w:strike/>
          <w:sz w:val="24"/>
          <w:szCs w:val="24"/>
        </w:rPr>
      </w:pPr>
      <w:r w:rsidRPr="00D53BE3">
        <w:rPr>
          <w:rFonts w:ascii="Century Schoolbook" w:hAnsi="Century Schoolbook" w:cs="Times New Roman"/>
          <w:b/>
          <w:sz w:val="24"/>
          <w:szCs w:val="24"/>
        </w:rPr>
        <w:t>SUBPART 212.70</w:t>
      </w:r>
      <w:r w:rsidR="00C46E5A">
        <w:rPr>
          <w:rFonts w:ascii="Century Schoolbook" w:hAnsi="Century Schoolbook" w:cs="Times New Roman"/>
          <w:b/>
          <w:sz w:val="24"/>
          <w:szCs w:val="24"/>
        </w:rPr>
        <w:t xml:space="preserve"> </w:t>
      </w:r>
      <w:r w:rsidR="00845A88" w:rsidRPr="00D53BE3">
        <w:rPr>
          <w:rFonts w:ascii="Century Schoolbook" w:hAnsi="Century Schoolbook" w:cs="Times New Roman"/>
          <w:b/>
          <w:bCs/>
          <w:sz w:val="24"/>
          <w:szCs w:val="24"/>
        </w:rPr>
        <w:t>[Reserved]</w:t>
      </w:r>
      <w:r w:rsidRPr="00D53BE3">
        <w:rPr>
          <w:rFonts w:ascii="Century Schoolbook" w:hAnsi="Century Schoolbook" w:cs="Times New Roman"/>
          <w:b/>
          <w:strike/>
          <w:sz w:val="24"/>
          <w:szCs w:val="24"/>
        </w:rPr>
        <w:t>LIMITATION ON CONVERSION OF PROCUREMENT</w:t>
      </w:r>
      <w:r w:rsidR="00C46E5A">
        <w:rPr>
          <w:rFonts w:ascii="Century Schoolbook" w:hAnsi="Century Schoolbook" w:cs="Times New Roman"/>
          <w:b/>
          <w:strike/>
          <w:sz w:val="24"/>
          <w:szCs w:val="24"/>
        </w:rPr>
        <w:t xml:space="preserve"> </w:t>
      </w:r>
      <w:r w:rsidRPr="00D53BE3">
        <w:rPr>
          <w:rFonts w:ascii="Century Schoolbook" w:hAnsi="Century Schoolbook" w:cs="Times New Roman"/>
          <w:b/>
          <w:strike/>
          <w:sz w:val="24"/>
          <w:szCs w:val="24"/>
        </w:rPr>
        <w:t>FROM COMMERCIAL ACQUISITION PROCEDURES</w:t>
      </w:r>
    </w:p>
    <w:p w14:paraId="69E76163" w14:textId="77777777" w:rsidR="00845A88" w:rsidRPr="001A3C93" w:rsidRDefault="00845A88"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Times New Roman"/>
          <w:strike/>
          <w:sz w:val="24"/>
          <w:szCs w:val="24"/>
        </w:rPr>
      </w:pPr>
    </w:p>
    <w:p w14:paraId="58BFA8C0" w14:textId="426A22B8" w:rsidR="001A3C93" w:rsidRPr="001A3C93" w:rsidRDefault="001A3C93"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Times New Roman"/>
          <w:b/>
          <w:strike/>
          <w:sz w:val="24"/>
          <w:szCs w:val="24"/>
        </w:rPr>
      </w:pPr>
      <w:proofErr w:type="gramStart"/>
      <w:r w:rsidRPr="001A3C93">
        <w:rPr>
          <w:rFonts w:ascii="Century Schoolbook" w:hAnsi="Century Schoolbook" w:cs="Times New Roman"/>
          <w:b/>
          <w:strike/>
          <w:sz w:val="24"/>
          <w:szCs w:val="24"/>
        </w:rPr>
        <w:t xml:space="preserve">212.7000 </w:t>
      </w:r>
      <w:r w:rsidR="00C46E5A">
        <w:rPr>
          <w:rFonts w:ascii="Century Schoolbook" w:hAnsi="Century Schoolbook" w:cs="Times New Roman"/>
          <w:b/>
          <w:strike/>
          <w:sz w:val="24"/>
          <w:szCs w:val="24"/>
        </w:rPr>
        <w:t xml:space="preserve"> </w:t>
      </w:r>
      <w:r w:rsidRPr="001A3C93">
        <w:rPr>
          <w:rFonts w:ascii="Century Schoolbook" w:hAnsi="Century Schoolbook" w:cs="Times New Roman"/>
          <w:b/>
          <w:strike/>
          <w:sz w:val="24"/>
          <w:szCs w:val="24"/>
        </w:rPr>
        <w:t>Scope</w:t>
      </w:r>
      <w:proofErr w:type="gramEnd"/>
      <w:r w:rsidRPr="001A3C93">
        <w:rPr>
          <w:rFonts w:ascii="Century Schoolbook" w:hAnsi="Century Schoolbook" w:cs="Times New Roman"/>
          <w:b/>
          <w:strike/>
          <w:sz w:val="24"/>
          <w:szCs w:val="24"/>
        </w:rPr>
        <w:t>.</w:t>
      </w:r>
    </w:p>
    <w:p w14:paraId="2F531B84" w14:textId="65FD6844" w:rsidR="001A3C93" w:rsidRPr="001A3C93" w:rsidRDefault="001A3C93"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Times New Roman"/>
          <w:strike/>
          <w:sz w:val="24"/>
          <w:szCs w:val="24"/>
        </w:rPr>
      </w:pPr>
      <w:r w:rsidRPr="001A3C93">
        <w:rPr>
          <w:rFonts w:ascii="Century Schoolbook" w:hAnsi="Century Schoolbook" w:cs="Times New Roman"/>
          <w:strike/>
          <w:sz w:val="24"/>
          <w:szCs w:val="24"/>
        </w:rPr>
        <w:lastRenderedPageBreak/>
        <w:t>This subpart implements section 856 of the National Defense Authorization Act for</w:t>
      </w:r>
      <w:r w:rsidR="00296055">
        <w:rPr>
          <w:rFonts w:ascii="Century Schoolbook" w:hAnsi="Century Schoolbook" w:cs="Times New Roman"/>
          <w:strike/>
          <w:sz w:val="24"/>
          <w:szCs w:val="24"/>
        </w:rPr>
        <w:t xml:space="preserve"> </w:t>
      </w:r>
      <w:r w:rsidRPr="001A3C93">
        <w:rPr>
          <w:rFonts w:ascii="Century Schoolbook" w:hAnsi="Century Schoolbook" w:cs="Times New Roman"/>
          <w:strike/>
          <w:sz w:val="24"/>
          <w:szCs w:val="24"/>
        </w:rPr>
        <w:t>Fiscal Year 2016 (Pub. L. 114-92).</w:t>
      </w:r>
    </w:p>
    <w:p w14:paraId="1BAAEA74" w14:textId="77777777" w:rsidR="001A3C93" w:rsidRPr="001A3C93" w:rsidRDefault="001A3C93"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Times New Roman"/>
          <w:strike/>
          <w:sz w:val="24"/>
          <w:szCs w:val="24"/>
        </w:rPr>
      </w:pPr>
    </w:p>
    <w:p w14:paraId="225366AE" w14:textId="4C1D420E" w:rsidR="001A3C93" w:rsidRPr="001A3C93" w:rsidRDefault="001A3C93"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Times New Roman"/>
          <w:b/>
          <w:strike/>
          <w:sz w:val="24"/>
          <w:szCs w:val="24"/>
        </w:rPr>
      </w:pPr>
      <w:proofErr w:type="gramStart"/>
      <w:r w:rsidRPr="001A3C93">
        <w:rPr>
          <w:rFonts w:ascii="Century Schoolbook" w:hAnsi="Century Schoolbook" w:cs="Times New Roman"/>
          <w:b/>
          <w:strike/>
          <w:sz w:val="24"/>
          <w:szCs w:val="24"/>
        </w:rPr>
        <w:t xml:space="preserve">212.7001 </w:t>
      </w:r>
      <w:r w:rsidR="00C46E5A">
        <w:rPr>
          <w:rFonts w:ascii="Century Schoolbook" w:hAnsi="Century Schoolbook" w:cs="Times New Roman"/>
          <w:b/>
          <w:strike/>
          <w:sz w:val="24"/>
          <w:szCs w:val="24"/>
        </w:rPr>
        <w:t xml:space="preserve"> </w:t>
      </w:r>
      <w:r w:rsidRPr="001A3C93">
        <w:rPr>
          <w:rFonts w:ascii="Century Schoolbook" w:hAnsi="Century Schoolbook" w:cs="Times New Roman"/>
          <w:b/>
          <w:strike/>
          <w:sz w:val="24"/>
          <w:szCs w:val="24"/>
        </w:rPr>
        <w:t>Procedures</w:t>
      </w:r>
      <w:proofErr w:type="gramEnd"/>
      <w:r w:rsidRPr="001A3C93">
        <w:rPr>
          <w:rFonts w:ascii="Century Schoolbook" w:hAnsi="Century Schoolbook" w:cs="Times New Roman"/>
          <w:b/>
          <w:strike/>
          <w:sz w:val="24"/>
          <w:szCs w:val="24"/>
        </w:rPr>
        <w:t>.</w:t>
      </w:r>
    </w:p>
    <w:p w14:paraId="64D86557" w14:textId="77777777" w:rsidR="00296055" w:rsidRDefault="00296055"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Times New Roman"/>
          <w:strike/>
          <w:sz w:val="24"/>
          <w:szCs w:val="24"/>
        </w:rPr>
      </w:pPr>
    </w:p>
    <w:p w14:paraId="7496DEE0" w14:textId="45C9B9E2" w:rsidR="001A3C93" w:rsidRPr="001A3C93" w:rsidRDefault="001A3C93"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Times New Roman"/>
          <w:strike/>
          <w:sz w:val="24"/>
          <w:szCs w:val="24"/>
        </w:rPr>
      </w:pPr>
      <w:r w:rsidRPr="001A3C93">
        <w:rPr>
          <w:rFonts w:ascii="Century Schoolbook" w:hAnsi="Century Schoolbook" w:cs="Times New Roman"/>
          <w:strike/>
          <w:sz w:val="24"/>
          <w:szCs w:val="24"/>
        </w:rPr>
        <w:tab/>
        <w:t>(a)</w:t>
      </w:r>
      <w:r w:rsidR="00C46E5A">
        <w:rPr>
          <w:rFonts w:ascii="Century Schoolbook" w:hAnsi="Century Schoolbook" w:cs="Times New Roman"/>
          <w:strike/>
          <w:sz w:val="24"/>
          <w:szCs w:val="24"/>
        </w:rPr>
        <w:t xml:space="preserve"> </w:t>
      </w:r>
      <w:r w:rsidRPr="001A3C93">
        <w:rPr>
          <w:rFonts w:ascii="Century Schoolbook" w:hAnsi="Century Schoolbook" w:cs="Times New Roman"/>
          <w:strike/>
          <w:sz w:val="24"/>
          <w:szCs w:val="24"/>
        </w:rPr>
        <w:t xml:space="preserve"> Limitation.</w:t>
      </w:r>
    </w:p>
    <w:p w14:paraId="5E6E57BF" w14:textId="77777777" w:rsidR="00296055" w:rsidRDefault="00296055"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Times New Roman"/>
          <w:strike/>
          <w:sz w:val="24"/>
          <w:szCs w:val="24"/>
        </w:rPr>
      </w:pPr>
    </w:p>
    <w:p w14:paraId="75AAF39A" w14:textId="25668EDC" w:rsidR="001A3C93" w:rsidRPr="001A3C93" w:rsidRDefault="001A3C93"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Times New Roman"/>
          <w:strike/>
          <w:sz w:val="24"/>
          <w:szCs w:val="24"/>
        </w:rPr>
      </w:pPr>
      <w:r w:rsidRPr="001A3C93">
        <w:rPr>
          <w:rFonts w:ascii="Century Schoolbook" w:hAnsi="Century Schoolbook" w:cs="Times New Roman"/>
          <w:strike/>
          <w:sz w:val="24"/>
          <w:szCs w:val="24"/>
        </w:rPr>
        <w:tab/>
      </w:r>
      <w:r w:rsidRPr="001A3C93">
        <w:rPr>
          <w:rFonts w:ascii="Century Schoolbook" w:hAnsi="Century Schoolbook" w:cs="Times New Roman"/>
          <w:strike/>
          <w:sz w:val="24"/>
          <w:szCs w:val="24"/>
        </w:rPr>
        <w:tab/>
        <w:t xml:space="preserve">(1) </w:t>
      </w:r>
      <w:r w:rsidR="00C46E5A">
        <w:rPr>
          <w:rFonts w:ascii="Century Schoolbook" w:hAnsi="Century Schoolbook" w:cs="Times New Roman"/>
          <w:strike/>
          <w:sz w:val="24"/>
          <w:szCs w:val="24"/>
        </w:rPr>
        <w:t xml:space="preserve"> </w:t>
      </w:r>
      <w:r w:rsidRPr="001A3C93">
        <w:rPr>
          <w:rFonts w:ascii="Century Schoolbook" w:hAnsi="Century Schoolbook" w:cs="Times New Roman"/>
          <w:strike/>
          <w:sz w:val="24"/>
          <w:szCs w:val="24"/>
        </w:rPr>
        <w:t>For a procurement valued at more than $1 million, but less than $100</w:t>
      </w:r>
      <w:r w:rsidR="00296055">
        <w:rPr>
          <w:rFonts w:ascii="Century Schoolbook" w:hAnsi="Century Schoolbook" w:cs="Times New Roman"/>
          <w:strike/>
          <w:sz w:val="24"/>
          <w:szCs w:val="24"/>
        </w:rPr>
        <w:t xml:space="preserve"> </w:t>
      </w:r>
      <w:r w:rsidRPr="001A3C93">
        <w:rPr>
          <w:rFonts w:ascii="Century Schoolbook" w:hAnsi="Century Schoolbook" w:cs="Times New Roman"/>
          <w:strike/>
          <w:sz w:val="24"/>
          <w:szCs w:val="24"/>
        </w:rPr>
        <w:t>million, previously procured under a prime contract using FAR part 12 procedures</w:t>
      </w:r>
      <w:r w:rsidR="00296055">
        <w:rPr>
          <w:rFonts w:ascii="Century Schoolbook" w:hAnsi="Century Schoolbook" w:cs="Times New Roman"/>
          <w:strike/>
          <w:sz w:val="24"/>
          <w:szCs w:val="24"/>
        </w:rPr>
        <w:t xml:space="preserve"> </w:t>
      </w:r>
      <w:r w:rsidRPr="001A3C93">
        <w:rPr>
          <w:rFonts w:ascii="Century Schoolbook" w:hAnsi="Century Schoolbook" w:cs="Times New Roman"/>
          <w:strike/>
          <w:sz w:val="24"/>
          <w:szCs w:val="24"/>
        </w:rPr>
        <w:t>based on a commercial item determination made by a military department, a defense agency, or another DoD component, prior to converting the procurement from commercial acquisition procedures to noncommercial acquisition procedures under FAR part 15, the head of the contracting activity shall determine in writing, upon recommendation from the contracting officer for the procurement that—</w:t>
      </w:r>
    </w:p>
    <w:p w14:paraId="085EE3F2" w14:textId="77777777" w:rsidR="00296055" w:rsidRDefault="00296055"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Times New Roman"/>
          <w:strike/>
          <w:sz w:val="24"/>
          <w:szCs w:val="24"/>
        </w:rPr>
      </w:pPr>
    </w:p>
    <w:p w14:paraId="354D2F01" w14:textId="5A2241CB" w:rsidR="001A3C93" w:rsidRPr="001A3C93" w:rsidRDefault="001A3C93"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Times New Roman"/>
          <w:strike/>
          <w:sz w:val="24"/>
          <w:szCs w:val="24"/>
        </w:rPr>
      </w:pPr>
      <w:r w:rsidRPr="001A3C93">
        <w:rPr>
          <w:rFonts w:ascii="Century Schoolbook" w:hAnsi="Century Schoolbook" w:cs="Times New Roman"/>
          <w:strike/>
          <w:sz w:val="24"/>
          <w:szCs w:val="24"/>
        </w:rPr>
        <w:tab/>
      </w:r>
      <w:r w:rsidRPr="001A3C93">
        <w:rPr>
          <w:rFonts w:ascii="Century Schoolbook" w:hAnsi="Century Schoolbook" w:cs="Times New Roman"/>
          <w:strike/>
          <w:sz w:val="24"/>
          <w:szCs w:val="24"/>
        </w:rPr>
        <w:tab/>
      </w:r>
      <w:r w:rsidRPr="001A3C93">
        <w:rPr>
          <w:rFonts w:ascii="Century Schoolbook" w:hAnsi="Century Schoolbook" w:cs="Times New Roman"/>
          <w:strike/>
          <w:sz w:val="24"/>
          <w:szCs w:val="24"/>
        </w:rPr>
        <w:tab/>
        <w:t>(</w:t>
      </w:r>
      <w:proofErr w:type="spellStart"/>
      <w:r w:rsidRPr="001A3C93">
        <w:rPr>
          <w:rFonts w:ascii="Century Schoolbook" w:hAnsi="Century Schoolbook" w:cs="Times New Roman"/>
          <w:strike/>
          <w:sz w:val="24"/>
          <w:szCs w:val="24"/>
        </w:rPr>
        <w:t>i</w:t>
      </w:r>
      <w:proofErr w:type="spellEnd"/>
      <w:r w:rsidRPr="001A3C93">
        <w:rPr>
          <w:rFonts w:ascii="Century Schoolbook" w:hAnsi="Century Schoolbook" w:cs="Times New Roman"/>
          <w:strike/>
          <w:sz w:val="24"/>
          <w:szCs w:val="24"/>
        </w:rPr>
        <w:t xml:space="preserve">) </w:t>
      </w:r>
      <w:r w:rsidR="00C46E5A">
        <w:rPr>
          <w:rFonts w:ascii="Century Schoolbook" w:hAnsi="Century Schoolbook" w:cs="Times New Roman"/>
          <w:strike/>
          <w:sz w:val="24"/>
          <w:szCs w:val="24"/>
        </w:rPr>
        <w:t xml:space="preserve"> </w:t>
      </w:r>
      <w:r w:rsidRPr="001A3C93">
        <w:rPr>
          <w:rFonts w:ascii="Century Schoolbook" w:hAnsi="Century Schoolbook" w:cs="Times New Roman"/>
          <w:strike/>
          <w:sz w:val="24"/>
          <w:szCs w:val="24"/>
        </w:rPr>
        <w:t>The earlier use of commercial acquisition procedures under FAR part 12 was in error or based on inadequate information; and</w:t>
      </w:r>
    </w:p>
    <w:p w14:paraId="63916380" w14:textId="77777777" w:rsidR="00296055" w:rsidRDefault="00296055"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Times New Roman"/>
          <w:strike/>
          <w:sz w:val="24"/>
          <w:szCs w:val="24"/>
        </w:rPr>
      </w:pPr>
    </w:p>
    <w:p w14:paraId="696E3DD1" w14:textId="4CB226B6" w:rsidR="001A3C93" w:rsidRPr="001A3C93" w:rsidRDefault="001A3C93"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Times New Roman"/>
          <w:strike/>
          <w:sz w:val="24"/>
          <w:szCs w:val="24"/>
        </w:rPr>
      </w:pPr>
      <w:r w:rsidRPr="001A3C93">
        <w:rPr>
          <w:rFonts w:ascii="Century Schoolbook" w:hAnsi="Century Schoolbook" w:cs="Times New Roman"/>
          <w:strike/>
          <w:sz w:val="24"/>
          <w:szCs w:val="24"/>
        </w:rPr>
        <w:tab/>
      </w:r>
      <w:r w:rsidRPr="001A3C93">
        <w:rPr>
          <w:rFonts w:ascii="Century Schoolbook" w:hAnsi="Century Schoolbook" w:cs="Times New Roman"/>
          <w:strike/>
          <w:sz w:val="24"/>
          <w:szCs w:val="24"/>
        </w:rPr>
        <w:tab/>
      </w:r>
      <w:r w:rsidRPr="001A3C93">
        <w:rPr>
          <w:rFonts w:ascii="Century Schoolbook" w:hAnsi="Century Schoolbook" w:cs="Times New Roman"/>
          <w:strike/>
          <w:sz w:val="24"/>
          <w:szCs w:val="24"/>
        </w:rPr>
        <w:tab/>
        <w:t xml:space="preserve">(ii) </w:t>
      </w:r>
      <w:r w:rsidR="00C46E5A">
        <w:rPr>
          <w:rFonts w:ascii="Century Schoolbook" w:hAnsi="Century Schoolbook" w:cs="Times New Roman"/>
          <w:strike/>
          <w:sz w:val="24"/>
          <w:szCs w:val="24"/>
        </w:rPr>
        <w:t xml:space="preserve"> </w:t>
      </w:r>
      <w:r w:rsidRPr="001A3C93">
        <w:rPr>
          <w:rFonts w:ascii="Century Schoolbook" w:hAnsi="Century Schoolbook" w:cs="Times New Roman"/>
          <w:strike/>
          <w:sz w:val="24"/>
          <w:szCs w:val="24"/>
        </w:rPr>
        <w:t>DoD will realize a cost savings compared to the cost of procuring a</w:t>
      </w:r>
      <w:r w:rsidR="00296055">
        <w:rPr>
          <w:rFonts w:ascii="Century Schoolbook" w:hAnsi="Century Schoolbook" w:cs="Times New Roman"/>
          <w:strike/>
          <w:sz w:val="24"/>
          <w:szCs w:val="24"/>
        </w:rPr>
        <w:t xml:space="preserve"> </w:t>
      </w:r>
      <w:r w:rsidRPr="001A3C93">
        <w:rPr>
          <w:rFonts w:ascii="Century Schoolbook" w:hAnsi="Century Schoolbook" w:cs="Times New Roman"/>
          <w:strike/>
          <w:sz w:val="24"/>
          <w:szCs w:val="24"/>
        </w:rPr>
        <w:t>similar quantity or level of such item or service using commercial acquisition</w:t>
      </w:r>
      <w:r w:rsidR="00296055">
        <w:rPr>
          <w:rFonts w:ascii="Century Schoolbook" w:hAnsi="Century Schoolbook" w:cs="Times New Roman"/>
          <w:strike/>
          <w:sz w:val="24"/>
          <w:szCs w:val="24"/>
        </w:rPr>
        <w:t xml:space="preserve"> </w:t>
      </w:r>
      <w:r w:rsidRPr="001A3C93">
        <w:rPr>
          <w:rFonts w:ascii="Century Schoolbook" w:hAnsi="Century Schoolbook" w:cs="Times New Roman"/>
          <w:strike/>
          <w:sz w:val="24"/>
          <w:szCs w:val="24"/>
        </w:rPr>
        <w:t>procedures.</w:t>
      </w:r>
    </w:p>
    <w:p w14:paraId="70A67FCA" w14:textId="77777777" w:rsidR="00296055" w:rsidRDefault="00296055"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Times New Roman"/>
          <w:strike/>
          <w:sz w:val="24"/>
          <w:szCs w:val="24"/>
        </w:rPr>
      </w:pPr>
    </w:p>
    <w:p w14:paraId="2A7AD659" w14:textId="0AEF47BE" w:rsidR="001A3C93" w:rsidRPr="001A3C93" w:rsidRDefault="001A3C93"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Times New Roman"/>
          <w:strike/>
          <w:sz w:val="24"/>
          <w:szCs w:val="24"/>
        </w:rPr>
      </w:pPr>
      <w:r w:rsidRPr="001A3C93">
        <w:rPr>
          <w:rFonts w:ascii="Century Schoolbook" w:hAnsi="Century Schoolbook" w:cs="Times New Roman"/>
          <w:strike/>
          <w:sz w:val="24"/>
          <w:szCs w:val="24"/>
        </w:rPr>
        <w:tab/>
      </w:r>
      <w:r w:rsidRPr="001A3C93">
        <w:rPr>
          <w:rFonts w:ascii="Century Schoolbook" w:hAnsi="Century Schoolbook" w:cs="Times New Roman"/>
          <w:strike/>
          <w:sz w:val="24"/>
          <w:szCs w:val="24"/>
        </w:rPr>
        <w:tab/>
        <w:t xml:space="preserve">(2) </w:t>
      </w:r>
      <w:r w:rsidR="00C46E5A">
        <w:rPr>
          <w:rFonts w:ascii="Century Schoolbook" w:hAnsi="Century Schoolbook" w:cs="Times New Roman"/>
          <w:strike/>
          <w:sz w:val="24"/>
          <w:szCs w:val="24"/>
        </w:rPr>
        <w:t xml:space="preserve"> </w:t>
      </w:r>
      <w:r w:rsidRPr="001A3C93">
        <w:rPr>
          <w:rFonts w:ascii="Century Schoolbook" w:hAnsi="Century Schoolbook" w:cs="Times New Roman"/>
          <w:strike/>
          <w:sz w:val="24"/>
          <w:szCs w:val="24"/>
        </w:rPr>
        <w:t>In the case of a procurement valued at $100 million or more, a contract may not be awarded pursuant to a conversion of the procurement described in paragraph (a)(1) of this section until a copy of the head of contracting activity determination is provided to the Office of the Under Secretary of Defense for Acquisition, Technology, and Logistics.</w:t>
      </w:r>
    </w:p>
    <w:p w14:paraId="571F39A3" w14:textId="77777777" w:rsidR="00296055" w:rsidRDefault="00296055"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Times New Roman"/>
          <w:strike/>
          <w:sz w:val="24"/>
          <w:szCs w:val="24"/>
        </w:rPr>
      </w:pPr>
    </w:p>
    <w:p w14:paraId="066F95FA" w14:textId="6983F885" w:rsidR="001A3C93" w:rsidRPr="001A3C93" w:rsidRDefault="001A3C93"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Times New Roman"/>
          <w:strike/>
          <w:sz w:val="24"/>
          <w:szCs w:val="24"/>
        </w:rPr>
      </w:pPr>
      <w:r w:rsidRPr="001A3C93">
        <w:rPr>
          <w:rFonts w:ascii="Century Schoolbook" w:hAnsi="Century Schoolbook" w:cs="Times New Roman"/>
          <w:strike/>
          <w:sz w:val="24"/>
          <w:szCs w:val="24"/>
        </w:rPr>
        <w:tab/>
        <w:t xml:space="preserve">(b) </w:t>
      </w:r>
      <w:r w:rsidR="00C46E5A">
        <w:rPr>
          <w:rFonts w:ascii="Century Schoolbook" w:hAnsi="Century Schoolbook" w:cs="Times New Roman"/>
          <w:strike/>
          <w:sz w:val="24"/>
          <w:szCs w:val="24"/>
        </w:rPr>
        <w:t xml:space="preserve"> </w:t>
      </w:r>
      <w:r w:rsidRPr="001A3C93">
        <w:rPr>
          <w:rFonts w:ascii="Century Schoolbook" w:hAnsi="Century Schoolbook" w:cs="Times New Roman"/>
          <w:strike/>
          <w:sz w:val="24"/>
          <w:szCs w:val="24"/>
        </w:rPr>
        <w:t>In making a determination under paragraph (a) of this section, the determining</w:t>
      </w:r>
      <w:r w:rsidR="00296055">
        <w:rPr>
          <w:rFonts w:ascii="Century Schoolbook" w:hAnsi="Century Schoolbook" w:cs="Times New Roman"/>
          <w:strike/>
          <w:sz w:val="24"/>
          <w:szCs w:val="24"/>
        </w:rPr>
        <w:t xml:space="preserve"> </w:t>
      </w:r>
      <w:r w:rsidRPr="001A3C93">
        <w:rPr>
          <w:rFonts w:ascii="Century Schoolbook" w:hAnsi="Century Schoolbook" w:cs="Times New Roman"/>
          <w:strike/>
          <w:sz w:val="24"/>
          <w:szCs w:val="24"/>
        </w:rPr>
        <w:t>official shall, at a minimum, consider the following factors:</w:t>
      </w:r>
    </w:p>
    <w:p w14:paraId="566FAD3F" w14:textId="77777777" w:rsidR="00296055" w:rsidRDefault="00296055"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Times New Roman"/>
          <w:strike/>
          <w:sz w:val="24"/>
          <w:szCs w:val="24"/>
        </w:rPr>
      </w:pPr>
    </w:p>
    <w:p w14:paraId="08C5AD4D" w14:textId="06E1EF72" w:rsidR="001A3C93" w:rsidRPr="001A3C93" w:rsidRDefault="001A3C93"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Times New Roman"/>
          <w:strike/>
          <w:sz w:val="24"/>
          <w:szCs w:val="24"/>
        </w:rPr>
      </w:pPr>
      <w:r w:rsidRPr="001A3C93">
        <w:rPr>
          <w:rFonts w:ascii="Century Schoolbook" w:hAnsi="Century Schoolbook" w:cs="Times New Roman"/>
          <w:strike/>
          <w:sz w:val="24"/>
          <w:szCs w:val="24"/>
        </w:rPr>
        <w:tab/>
      </w:r>
      <w:r w:rsidRPr="001A3C93">
        <w:rPr>
          <w:rFonts w:ascii="Century Schoolbook" w:hAnsi="Century Schoolbook" w:cs="Times New Roman"/>
          <w:strike/>
          <w:sz w:val="24"/>
          <w:szCs w:val="24"/>
        </w:rPr>
        <w:tab/>
        <w:t xml:space="preserve">(1) </w:t>
      </w:r>
      <w:r w:rsidR="00C46E5A">
        <w:rPr>
          <w:rFonts w:ascii="Century Schoolbook" w:hAnsi="Century Schoolbook" w:cs="Times New Roman"/>
          <w:strike/>
          <w:sz w:val="24"/>
          <w:szCs w:val="24"/>
        </w:rPr>
        <w:t xml:space="preserve"> </w:t>
      </w:r>
      <w:r w:rsidRPr="001A3C93">
        <w:rPr>
          <w:rFonts w:ascii="Century Schoolbook" w:hAnsi="Century Schoolbook" w:cs="Times New Roman"/>
          <w:strike/>
          <w:sz w:val="24"/>
          <w:szCs w:val="24"/>
        </w:rPr>
        <w:t>The estimated cost of research and development to be performed by the</w:t>
      </w:r>
      <w:r w:rsidR="00296055">
        <w:rPr>
          <w:rFonts w:ascii="Century Schoolbook" w:hAnsi="Century Schoolbook" w:cs="Times New Roman"/>
          <w:strike/>
          <w:sz w:val="24"/>
          <w:szCs w:val="24"/>
        </w:rPr>
        <w:t xml:space="preserve"> </w:t>
      </w:r>
      <w:r w:rsidRPr="001A3C93">
        <w:rPr>
          <w:rFonts w:ascii="Century Schoolbook" w:hAnsi="Century Schoolbook" w:cs="Times New Roman"/>
          <w:strike/>
          <w:sz w:val="24"/>
          <w:szCs w:val="24"/>
        </w:rPr>
        <w:t>existing contractor to improve future products or services.</w:t>
      </w:r>
    </w:p>
    <w:p w14:paraId="4D2B04C5" w14:textId="77777777" w:rsidR="00296055" w:rsidRDefault="00296055" w:rsidP="00D53BE3">
      <w:pPr>
        <w:pStyle w:val="PlainText"/>
        <w:tabs>
          <w:tab w:val="left" w:pos="360"/>
          <w:tab w:val="left" w:pos="806"/>
          <w:tab w:val="left" w:pos="1210"/>
          <w:tab w:val="left" w:pos="1656"/>
          <w:tab w:val="left" w:pos="2131"/>
          <w:tab w:val="left" w:pos="2520"/>
        </w:tabs>
        <w:spacing w:line="240" w:lineRule="exact"/>
        <w:rPr>
          <w:rFonts w:cs="Arial"/>
          <w:strike/>
          <w:szCs w:val="24"/>
        </w:rPr>
      </w:pPr>
    </w:p>
    <w:p w14:paraId="73FC1606" w14:textId="24AB95D3" w:rsidR="001A3C93" w:rsidRPr="001A3C93" w:rsidRDefault="001A3C93"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Arial"/>
          <w:strike/>
          <w:sz w:val="24"/>
          <w:szCs w:val="24"/>
        </w:rPr>
      </w:pPr>
      <w:r w:rsidRPr="00D53BE3">
        <w:rPr>
          <w:rFonts w:ascii="Century Schoolbook" w:hAnsi="Century Schoolbook" w:cs="Arial"/>
          <w:strike/>
          <w:sz w:val="24"/>
          <w:szCs w:val="24"/>
        </w:rPr>
        <w:tab/>
      </w:r>
      <w:r w:rsidRPr="00D53BE3">
        <w:rPr>
          <w:rFonts w:ascii="Century Schoolbook" w:hAnsi="Century Schoolbook" w:cs="Arial"/>
          <w:strike/>
          <w:sz w:val="24"/>
          <w:szCs w:val="24"/>
        </w:rPr>
        <w:tab/>
      </w:r>
      <w:r w:rsidRPr="001A3C93">
        <w:rPr>
          <w:rFonts w:ascii="Century Schoolbook" w:hAnsi="Century Schoolbook" w:cs="Arial"/>
          <w:strike/>
          <w:sz w:val="24"/>
          <w:szCs w:val="24"/>
        </w:rPr>
        <w:t xml:space="preserve">(2) </w:t>
      </w:r>
      <w:r w:rsidR="00C46E5A">
        <w:rPr>
          <w:rFonts w:ascii="Century Schoolbook" w:hAnsi="Century Schoolbook" w:cs="Arial"/>
          <w:strike/>
          <w:sz w:val="24"/>
          <w:szCs w:val="24"/>
        </w:rPr>
        <w:t xml:space="preserve"> </w:t>
      </w:r>
      <w:r w:rsidRPr="001A3C93">
        <w:rPr>
          <w:rFonts w:ascii="Century Schoolbook" w:hAnsi="Century Schoolbook" w:cs="Arial"/>
          <w:strike/>
          <w:sz w:val="24"/>
          <w:szCs w:val="24"/>
        </w:rPr>
        <w:t>The costs for DoD and the contractor in assessing and responding to data</w:t>
      </w:r>
      <w:r w:rsidR="00296055">
        <w:rPr>
          <w:rFonts w:ascii="Century Schoolbook" w:hAnsi="Century Schoolbook" w:cs="Arial"/>
          <w:strike/>
          <w:sz w:val="24"/>
          <w:szCs w:val="24"/>
        </w:rPr>
        <w:t xml:space="preserve"> </w:t>
      </w:r>
      <w:r w:rsidRPr="001A3C93">
        <w:rPr>
          <w:rFonts w:ascii="Century Schoolbook" w:hAnsi="Century Schoolbook" w:cs="Arial"/>
          <w:strike/>
          <w:sz w:val="24"/>
          <w:szCs w:val="24"/>
        </w:rPr>
        <w:t>requests to support a conversion to noncommercial acquisition procedures.</w:t>
      </w:r>
    </w:p>
    <w:p w14:paraId="35094B61" w14:textId="77777777" w:rsidR="00296055" w:rsidRDefault="00296055"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Arial"/>
          <w:strike/>
          <w:sz w:val="24"/>
          <w:szCs w:val="24"/>
        </w:rPr>
      </w:pPr>
    </w:p>
    <w:p w14:paraId="28E5E5FF" w14:textId="31C99527" w:rsidR="001A3C93" w:rsidRPr="001A3C93" w:rsidRDefault="001A3C93"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Arial"/>
          <w:strike/>
          <w:sz w:val="24"/>
          <w:szCs w:val="24"/>
        </w:rPr>
      </w:pPr>
      <w:r w:rsidRPr="001A3C93">
        <w:rPr>
          <w:rFonts w:ascii="Century Schoolbook" w:hAnsi="Century Schoolbook" w:cs="Arial"/>
          <w:strike/>
          <w:sz w:val="24"/>
          <w:szCs w:val="24"/>
        </w:rPr>
        <w:tab/>
      </w:r>
      <w:r w:rsidRPr="001A3C93">
        <w:rPr>
          <w:rFonts w:ascii="Century Schoolbook" w:hAnsi="Century Schoolbook" w:cs="Arial"/>
          <w:strike/>
          <w:sz w:val="24"/>
          <w:szCs w:val="24"/>
        </w:rPr>
        <w:tab/>
        <w:t xml:space="preserve">(3) </w:t>
      </w:r>
      <w:r w:rsidR="00C46E5A">
        <w:rPr>
          <w:rFonts w:ascii="Century Schoolbook" w:hAnsi="Century Schoolbook" w:cs="Arial"/>
          <w:strike/>
          <w:sz w:val="24"/>
          <w:szCs w:val="24"/>
        </w:rPr>
        <w:t xml:space="preserve"> </w:t>
      </w:r>
      <w:r w:rsidRPr="001A3C93">
        <w:rPr>
          <w:rFonts w:ascii="Century Schoolbook" w:hAnsi="Century Schoolbook" w:cs="Arial"/>
          <w:strike/>
          <w:sz w:val="24"/>
          <w:szCs w:val="24"/>
        </w:rPr>
        <w:t>Changes in purchase quantities.</w:t>
      </w:r>
    </w:p>
    <w:p w14:paraId="0DA8867D" w14:textId="77777777" w:rsidR="00296055" w:rsidRDefault="00296055"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Arial"/>
          <w:strike/>
          <w:sz w:val="24"/>
          <w:szCs w:val="24"/>
        </w:rPr>
      </w:pPr>
    </w:p>
    <w:p w14:paraId="3DFD6C46" w14:textId="659F75F9" w:rsidR="001A3C93" w:rsidRPr="001A3C93" w:rsidRDefault="001A3C93"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Arial"/>
          <w:strike/>
          <w:sz w:val="24"/>
          <w:szCs w:val="24"/>
        </w:rPr>
      </w:pPr>
      <w:r w:rsidRPr="001A3C93">
        <w:rPr>
          <w:rFonts w:ascii="Century Schoolbook" w:hAnsi="Century Schoolbook" w:cs="Arial"/>
          <w:strike/>
          <w:sz w:val="24"/>
          <w:szCs w:val="24"/>
        </w:rPr>
        <w:tab/>
      </w:r>
      <w:r w:rsidRPr="001A3C93">
        <w:rPr>
          <w:rFonts w:ascii="Century Schoolbook" w:hAnsi="Century Schoolbook" w:cs="Arial"/>
          <w:strike/>
          <w:sz w:val="24"/>
          <w:szCs w:val="24"/>
        </w:rPr>
        <w:tab/>
        <w:t xml:space="preserve">(4) </w:t>
      </w:r>
      <w:r w:rsidR="00C46E5A">
        <w:rPr>
          <w:rFonts w:ascii="Century Schoolbook" w:hAnsi="Century Schoolbook" w:cs="Arial"/>
          <w:strike/>
          <w:sz w:val="24"/>
          <w:szCs w:val="24"/>
        </w:rPr>
        <w:t xml:space="preserve"> </w:t>
      </w:r>
      <w:r w:rsidRPr="001A3C93">
        <w:rPr>
          <w:rFonts w:ascii="Century Schoolbook" w:hAnsi="Century Schoolbook" w:cs="Arial"/>
          <w:strike/>
          <w:sz w:val="24"/>
          <w:szCs w:val="24"/>
        </w:rPr>
        <w:t>Costs associated with potential procurement delays resulting from the</w:t>
      </w:r>
      <w:r w:rsidR="00296055">
        <w:rPr>
          <w:rFonts w:ascii="Century Schoolbook" w:hAnsi="Century Schoolbook" w:cs="Arial"/>
          <w:strike/>
          <w:sz w:val="24"/>
          <w:szCs w:val="24"/>
        </w:rPr>
        <w:t xml:space="preserve"> </w:t>
      </w:r>
      <w:r w:rsidRPr="001A3C93">
        <w:rPr>
          <w:rFonts w:ascii="Century Schoolbook" w:hAnsi="Century Schoolbook" w:cs="Arial"/>
          <w:strike/>
          <w:sz w:val="24"/>
          <w:szCs w:val="24"/>
        </w:rPr>
        <w:t>conversion.</w:t>
      </w:r>
    </w:p>
    <w:p w14:paraId="39C97B60" w14:textId="77777777" w:rsidR="00296055" w:rsidRDefault="00296055"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cs="Arial"/>
          <w:strike/>
          <w:sz w:val="24"/>
          <w:szCs w:val="24"/>
        </w:rPr>
      </w:pPr>
    </w:p>
    <w:p w14:paraId="555FF34F" w14:textId="317DC5BF" w:rsidR="00050976" w:rsidRPr="00666C44" w:rsidRDefault="001A3C93" w:rsidP="00D53BE3">
      <w:pPr>
        <w:pStyle w:val="PlainText"/>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1A3C93">
        <w:rPr>
          <w:rFonts w:ascii="Century Schoolbook" w:hAnsi="Century Schoolbook" w:cs="Arial"/>
          <w:strike/>
          <w:sz w:val="24"/>
          <w:szCs w:val="24"/>
        </w:rPr>
        <w:tab/>
        <w:t>(c)</w:t>
      </w:r>
      <w:r w:rsidR="00C46E5A">
        <w:rPr>
          <w:rFonts w:ascii="Century Schoolbook" w:hAnsi="Century Schoolbook" w:cs="Arial"/>
          <w:strike/>
          <w:sz w:val="24"/>
          <w:szCs w:val="24"/>
        </w:rPr>
        <w:t xml:space="preserve"> </w:t>
      </w:r>
      <w:r w:rsidRPr="001A3C93">
        <w:rPr>
          <w:rFonts w:ascii="Century Schoolbook" w:hAnsi="Century Schoolbook" w:cs="Arial"/>
          <w:strike/>
          <w:sz w:val="24"/>
          <w:szCs w:val="24"/>
        </w:rPr>
        <w:t xml:space="preserve"> The requirements of this subpart terminate November 25, 2020.</w:t>
      </w:r>
    </w:p>
    <w:sectPr w:rsidR="00050976" w:rsidRPr="00666C44" w:rsidSect="00F046CD">
      <w:footerReference w:type="default" r:id="rId14"/>
      <w:pgSz w:w="12240" w:h="15840"/>
      <w:pgMar w:top="1440" w:right="1440" w:bottom="1440" w:left="1440" w:header="720" w:footer="344"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7A50E" w16cex:dateUtc="2021-10-04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7B66F5" w16cid:durableId="25A7A5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956C2" w14:textId="77777777" w:rsidR="00837B42" w:rsidRDefault="00837B42" w:rsidP="009D07DC">
      <w:pPr>
        <w:spacing w:after="0" w:line="240" w:lineRule="auto"/>
      </w:pPr>
      <w:r>
        <w:separator/>
      </w:r>
    </w:p>
  </w:endnote>
  <w:endnote w:type="continuationSeparator" w:id="0">
    <w:p w14:paraId="1B7FDDE6" w14:textId="77777777" w:rsidR="00837B42" w:rsidRDefault="00837B42" w:rsidP="009D07DC">
      <w:pPr>
        <w:spacing w:after="0" w:line="240" w:lineRule="auto"/>
      </w:pPr>
      <w:r>
        <w:continuationSeparator/>
      </w:r>
    </w:p>
  </w:endnote>
  <w:endnote w:type="continuationNotice" w:id="1">
    <w:p w14:paraId="5D5C5A5A" w14:textId="77777777" w:rsidR="00837B42" w:rsidRDefault="00837B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lior">
    <w:altName w:val="Cambria"/>
    <w:panose1 w:val="00000000000000000000"/>
    <w:charset w:val="00"/>
    <w:family w:val="roman"/>
    <w:notTrueType/>
    <w:pitch w:val="default"/>
    <w:sig w:usb0="00000003" w:usb1="00000000" w:usb2="00000000" w:usb3="00000000" w:csb0="00000001" w:csb1="00000000"/>
  </w:font>
  <w:font w:name="Melior-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C13B7" w14:textId="33D5A6D3" w:rsidR="000108FF" w:rsidRPr="00F67D00" w:rsidRDefault="00BA35BA" w:rsidP="00F046CD">
    <w:pPr>
      <w:tabs>
        <w:tab w:val="center" w:pos="4680"/>
        <w:tab w:val="right" w:pos="9360"/>
      </w:tabs>
      <w:spacing w:line="240" w:lineRule="auto"/>
      <w:contextualSpacing/>
      <w:jc w:val="center"/>
      <w:rPr>
        <w:rFonts w:ascii="Century Schoolbook" w:hAnsi="Century Schoolbook" w:cs="Courier New"/>
        <w:b/>
        <w:sz w:val="24"/>
        <w:szCs w:val="24"/>
      </w:rPr>
    </w:pPr>
    <w:r w:rsidRPr="00F67D00">
      <w:rPr>
        <w:rFonts w:ascii="Century Schoolbook" w:hAnsi="Century Schoolbook" w:cs="Courier New"/>
        <w:sz w:val="24"/>
        <w:szCs w:val="24"/>
      </w:rPr>
      <w:t xml:space="preserve">Page </w:t>
    </w:r>
    <w:r w:rsidRPr="00F67D00">
      <w:rPr>
        <w:rFonts w:ascii="Century Schoolbook" w:hAnsi="Century Schoolbook" w:cs="Courier New"/>
        <w:b/>
        <w:sz w:val="24"/>
        <w:szCs w:val="24"/>
      </w:rPr>
      <w:fldChar w:fldCharType="begin"/>
    </w:r>
    <w:r w:rsidRPr="00F67D00">
      <w:rPr>
        <w:rFonts w:ascii="Century Schoolbook" w:hAnsi="Century Schoolbook" w:cs="Courier New"/>
        <w:sz w:val="24"/>
        <w:szCs w:val="24"/>
      </w:rPr>
      <w:instrText xml:space="preserve"> PAGE </w:instrText>
    </w:r>
    <w:r w:rsidRPr="00F67D00">
      <w:rPr>
        <w:rFonts w:ascii="Century Schoolbook" w:hAnsi="Century Schoolbook" w:cs="Courier New"/>
        <w:b/>
        <w:sz w:val="24"/>
        <w:szCs w:val="24"/>
      </w:rPr>
      <w:fldChar w:fldCharType="separate"/>
    </w:r>
    <w:r w:rsidR="00F67D00">
      <w:rPr>
        <w:rFonts w:ascii="Century Schoolbook" w:hAnsi="Century Schoolbook" w:cs="Courier New"/>
        <w:noProof/>
        <w:sz w:val="24"/>
        <w:szCs w:val="24"/>
      </w:rPr>
      <w:t>1</w:t>
    </w:r>
    <w:r w:rsidRPr="00F67D00">
      <w:rPr>
        <w:rFonts w:ascii="Century Schoolbook" w:hAnsi="Century Schoolbook" w:cs="Courier New"/>
        <w:b/>
        <w:sz w:val="24"/>
        <w:szCs w:val="24"/>
      </w:rPr>
      <w:fldChar w:fldCharType="end"/>
    </w:r>
    <w:r w:rsidRPr="00F67D00">
      <w:rPr>
        <w:rFonts w:ascii="Century Schoolbook" w:hAnsi="Century Schoolbook" w:cs="Courier New"/>
        <w:sz w:val="24"/>
        <w:szCs w:val="24"/>
      </w:rPr>
      <w:t xml:space="preserve"> of </w:t>
    </w:r>
    <w:r w:rsidRPr="00F67D00">
      <w:rPr>
        <w:rFonts w:ascii="Century Schoolbook" w:hAnsi="Century Schoolbook" w:cs="Courier New"/>
        <w:b/>
        <w:sz w:val="24"/>
        <w:szCs w:val="24"/>
      </w:rPr>
      <w:fldChar w:fldCharType="begin"/>
    </w:r>
    <w:r w:rsidRPr="00F67D00">
      <w:rPr>
        <w:rFonts w:ascii="Century Schoolbook" w:hAnsi="Century Schoolbook" w:cs="Courier New"/>
        <w:sz w:val="24"/>
        <w:szCs w:val="24"/>
      </w:rPr>
      <w:instrText xml:space="preserve"> NUMPAGES  </w:instrText>
    </w:r>
    <w:r w:rsidRPr="00F67D00">
      <w:rPr>
        <w:rFonts w:ascii="Century Schoolbook" w:hAnsi="Century Schoolbook" w:cs="Courier New"/>
        <w:b/>
        <w:sz w:val="24"/>
        <w:szCs w:val="24"/>
      </w:rPr>
      <w:fldChar w:fldCharType="separate"/>
    </w:r>
    <w:r w:rsidR="00F67D00">
      <w:rPr>
        <w:rFonts w:ascii="Century Schoolbook" w:hAnsi="Century Schoolbook" w:cs="Courier New"/>
        <w:noProof/>
        <w:sz w:val="24"/>
        <w:szCs w:val="24"/>
      </w:rPr>
      <w:t>4</w:t>
    </w:r>
    <w:r w:rsidRPr="00F67D00">
      <w:rPr>
        <w:rFonts w:ascii="Century Schoolbook" w:hAnsi="Century Schoolbook" w:cs="Courier New"/>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3BE4A" w14:textId="77777777" w:rsidR="00837B42" w:rsidRDefault="00837B42" w:rsidP="009D07DC">
      <w:pPr>
        <w:spacing w:after="0" w:line="240" w:lineRule="auto"/>
      </w:pPr>
      <w:r>
        <w:separator/>
      </w:r>
    </w:p>
  </w:footnote>
  <w:footnote w:type="continuationSeparator" w:id="0">
    <w:p w14:paraId="24D60B23" w14:textId="77777777" w:rsidR="00837B42" w:rsidRDefault="00837B42" w:rsidP="009D07DC">
      <w:pPr>
        <w:spacing w:after="0" w:line="240" w:lineRule="auto"/>
      </w:pPr>
      <w:r>
        <w:continuationSeparator/>
      </w:r>
    </w:p>
  </w:footnote>
  <w:footnote w:type="continuationNotice" w:id="1">
    <w:p w14:paraId="4350A3DA" w14:textId="77777777" w:rsidR="00837B42" w:rsidRDefault="00837B4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21F17"/>
    <w:multiLevelType w:val="hybridMultilevel"/>
    <w:tmpl w:val="FD18289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148CD"/>
    <w:multiLevelType w:val="hybridMultilevel"/>
    <w:tmpl w:val="18EA1EF2"/>
    <w:lvl w:ilvl="0" w:tplc="00A88844">
      <w:start w:val="1"/>
      <w:numFmt w:val="upperLetter"/>
      <w:lvlText w:val="(%1)"/>
      <w:lvlJc w:val="left"/>
      <w:pPr>
        <w:ind w:left="1650" w:hanging="435"/>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 w15:restartNumberingAfterBreak="0">
    <w:nsid w:val="1CBD2AC3"/>
    <w:multiLevelType w:val="hybridMultilevel"/>
    <w:tmpl w:val="C9461E4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65343"/>
    <w:multiLevelType w:val="hybridMultilevel"/>
    <w:tmpl w:val="CC22B9EC"/>
    <w:lvl w:ilvl="0" w:tplc="ECEA57F6">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73EF9"/>
    <w:multiLevelType w:val="hybridMultilevel"/>
    <w:tmpl w:val="137AAB00"/>
    <w:lvl w:ilvl="0" w:tplc="049074EC">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C30AC"/>
    <w:multiLevelType w:val="hybridMultilevel"/>
    <w:tmpl w:val="A9D249E0"/>
    <w:lvl w:ilvl="0" w:tplc="526C698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357328EB"/>
    <w:multiLevelType w:val="hybridMultilevel"/>
    <w:tmpl w:val="5A026B0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4098B"/>
    <w:multiLevelType w:val="multilevel"/>
    <w:tmpl w:val="7A9046F8"/>
    <w:lvl w:ilvl="0">
      <w:start w:val="217"/>
      <w:numFmt w:val="decimal"/>
      <w:lvlText w:val="%1"/>
      <w:lvlJc w:val="left"/>
      <w:pPr>
        <w:ind w:left="1005" w:hanging="1005"/>
      </w:pPr>
      <w:rPr>
        <w:rFonts w:hint="default"/>
        <w:b/>
      </w:rPr>
    </w:lvl>
    <w:lvl w:ilvl="1">
      <w:start w:val="7402"/>
      <w:numFmt w:val="decimal"/>
      <w:lvlText w:val="%1.%2"/>
      <w:lvlJc w:val="left"/>
      <w:pPr>
        <w:ind w:left="1005" w:hanging="1005"/>
      </w:pPr>
      <w:rPr>
        <w:rFonts w:hint="default"/>
        <w:b/>
      </w:rPr>
    </w:lvl>
    <w:lvl w:ilvl="2">
      <w:start w:val="1"/>
      <w:numFmt w:val="decimal"/>
      <w:lvlText w:val="%1.%2.%3"/>
      <w:lvlJc w:val="left"/>
      <w:pPr>
        <w:ind w:left="1005" w:hanging="1005"/>
      </w:pPr>
      <w:rPr>
        <w:rFonts w:hint="default"/>
        <w:b/>
      </w:rPr>
    </w:lvl>
    <w:lvl w:ilvl="3">
      <w:start w:val="1"/>
      <w:numFmt w:val="decimal"/>
      <w:lvlText w:val="%1.%2.%3.%4"/>
      <w:lvlJc w:val="left"/>
      <w:pPr>
        <w:ind w:left="1005" w:hanging="1005"/>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C47266C"/>
    <w:multiLevelType w:val="hybridMultilevel"/>
    <w:tmpl w:val="AF865818"/>
    <w:lvl w:ilvl="0" w:tplc="2234B140">
      <w:start w:val="1"/>
      <w:numFmt w:val="upperLetter"/>
      <w:lvlText w:val="(%1)"/>
      <w:lvlJc w:val="left"/>
      <w:pPr>
        <w:ind w:left="1575" w:hanging="360"/>
      </w:pPr>
      <w:rPr>
        <w:rFonts w:hint="default"/>
        <w:u w:val="single"/>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9" w15:restartNumberingAfterBreak="0">
    <w:nsid w:val="4F2A56A6"/>
    <w:multiLevelType w:val="hybridMultilevel"/>
    <w:tmpl w:val="A858D7D0"/>
    <w:lvl w:ilvl="0" w:tplc="DAD0121C">
      <w:start w:val="1"/>
      <w:numFmt w:val="decimal"/>
      <w:lvlText w:val="(%1)"/>
      <w:lvlJc w:val="left"/>
      <w:pPr>
        <w:ind w:left="2010" w:hanging="360"/>
      </w:pPr>
      <w:rPr>
        <w:rFonts w:hint="default"/>
        <w:i/>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0" w15:restartNumberingAfterBreak="0">
    <w:nsid w:val="558D5541"/>
    <w:multiLevelType w:val="hybridMultilevel"/>
    <w:tmpl w:val="B1660874"/>
    <w:lvl w:ilvl="0" w:tplc="90102E96">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27630"/>
    <w:multiLevelType w:val="hybridMultilevel"/>
    <w:tmpl w:val="AA0E8BDC"/>
    <w:lvl w:ilvl="0" w:tplc="5DCCC51E">
      <w:start w:val="1"/>
      <w:numFmt w:val="decimal"/>
      <w:lvlText w:val="(%1)"/>
      <w:lvlJc w:val="left"/>
      <w:pPr>
        <w:ind w:left="2010" w:hanging="360"/>
      </w:pPr>
      <w:rPr>
        <w:rFonts w:hint="default"/>
        <w:b/>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2" w15:restartNumberingAfterBreak="0">
    <w:nsid w:val="5F2856B4"/>
    <w:multiLevelType w:val="hybridMultilevel"/>
    <w:tmpl w:val="96525EB8"/>
    <w:lvl w:ilvl="0" w:tplc="2FB0D18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620A718F"/>
    <w:multiLevelType w:val="hybridMultilevel"/>
    <w:tmpl w:val="12CC6432"/>
    <w:lvl w:ilvl="0" w:tplc="34029C78">
      <w:start w:val="2"/>
      <w:numFmt w:val="decimal"/>
      <w:lvlText w:val="(%1)"/>
      <w:lvlJc w:val="left"/>
      <w:pPr>
        <w:ind w:left="1095" w:hanging="360"/>
      </w:pPr>
      <w:rPr>
        <w:rFonts w:hint="default"/>
        <w:b/>
        <w:i/>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4" w15:restartNumberingAfterBreak="0">
    <w:nsid w:val="631D10FF"/>
    <w:multiLevelType w:val="hybridMultilevel"/>
    <w:tmpl w:val="F476EE08"/>
    <w:lvl w:ilvl="0" w:tplc="321A7EE0">
      <w:start w:val="1"/>
      <w:numFmt w:val="upperLetter"/>
      <w:lvlText w:val="(%1)"/>
      <w:lvlJc w:val="left"/>
      <w:pPr>
        <w:ind w:left="1575" w:hanging="360"/>
      </w:pPr>
      <w:rPr>
        <w:rFonts w:hint="default"/>
        <w:b/>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5" w15:restartNumberingAfterBreak="0">
    <w:nsid w:val="7701272D"/>
    <w:multiLevelType w:val="hybridMultilevel"/>
    <w:tmpl w:val="2DACAF10"/>
    <w:lvl w:ilvl="0" w:tplc="8DE2782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7"/>
  </w:num>
  <w:num w:numId="2">
    <w:abstractNumId w:val="6"/>
  </w:num>
  <w:num w:numId="3">
    <w:abstractNumId w:val="2"/>
  </w:num>
  <w:num w:numId="4">
    <w:abstractNumId w:val="0"/>
  </w:num>
  <w:num w:numId="5">
    <w:abstractNumId w:val="12"/>
  </w:num>
  <w:num w:numId="6">
    <w:abstractNumId w:val="15"/>
  </w:num>
  <w:num w:numId="7">
    <w:abstractNumId w:val="5"/>
  </w:num>
  <w:num w:numId="8">
    <w:abstractNumId w:val="1"/>
  </w:num>
  <w:num w:numId="9">
    <w:abstractNumId w:val="14"/>
  </w:num>
  <w:num w:numId="10">
    <w:abstractNumId w:val="3"/>
  </w:num>
  <w:num w:numId="11">
    <w:abstractNumId w:val="13"/>
  </w:num>
  <w:num w:numId="12">
    <w:abstractNumId w:val="8"/>
  </w:num>
  <w:num w:numId="13">
    <w:abstractNumId w:val="10"/>
  </w:num>
  <w:num w:numId="14">
    <w:abstractNumId w:val="4"/>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415"/>
    <w:rsid w:val="000016AC"/>
    <w:rsid w:val="00004739"/>
    <w:rsid w:val="00005B45"/>
    <w:rsid w:val="00010095"/>
    <w:rsid w:val="00010602"/>
    <w:rsid w:val="000108FF"/>
    <w:rsid w:val="00011979"/>
    <w:rsid w:val="00013E99"/>
    <w:rsid w:val="0001633D"/>
    <w:rsid w:val="000225CF"/>
    <w:rsid w:val="00050976"/>
    <w:rsid w:val="00051235"/>
    <w:rsid w:val="00051C7B"/>
    <w:rsid w:val="00060263"/>
    <w:rsid w:val="00064E63"/>
    <w:rsid w:val="000726F2"/>
    <w:rsid w:val="00074EA7"/>
    <w:rsid w:val="000911D2"/>
    <w:rsid w:val="0009674B"/>
    <w:rsid w:val="000A19BC"/>
    <w:rsid w:val="000A3FAB"/>
    <w:rsid w:val="000B3811"/>
    <w:rsid w:val="000D28F9"/>
    <w:rsid w:val="000F5D3B"/>
    <w:rsid w:val="000F5ED5"/>
    <w:rsid w:val="0010004B"/>
    <w:rsid w:val="00104195"/>
    <w:rsid w:val="0011584E"/>
    <w:rsid w:val="001263EB"/>
    <w:rsid w:val="001503E9"/>
    <w:rsid w:val="001527AC"/>
    <w:rsid w:val="00161677"/>
    <w:rsid w:val="00164569"/>
    <w:rsid w:val="00172941"/>
    <w:rsid w:val="0018002F"/>
    <w:rsid w:val="001841A9"/>
    <w:rsid w:val="00192987"/>
    <w:rsid w:val="00197CEF"/>
    <w:rsid w:val="001A0539"/>
    <w:rsid w:val="001A2471"/>
    <w:rsid w:val="001A3C93"/>
    <w:rsid w:val="001A7251"/>
    <w:rsid w:val="001B09B6"/>
    <w:rsid w:val="001B40A0"/>
    <w:rsid w:val="001B75FB"/>
    <w:rsid w:val="001C1E1C"/>
    <w:rsid w:val="001C4CA1"/>
    <w:rsid w:val="001D7C11"/>
    <w:rsid w:val="001E6C36"/>
    <w:rsid w:val="001E7540"/>
    <w:rsid w:val="001F2C74"/>
    <w:rsid w:val="001F553C"/>
    <w:rsid w:val="001F6A7E"/>
    <w:rsid w:val="00201690"/>
    <w:rsid w:val="00203AE6"/>
    <w:rsid w:val="00210693"/>
    <w:rsid w:val="0021783F"/>
    <w:rsid w:val="00223FFA"/>
    <w:rsid w:val="002252FD"/>
    <w:rsid w:val="00226255"/>
    <w:rsid w:val="00227603"/>
    <w:rsid w:val="0023062F"/>
    <w:rsid w:val="00234BCC"/>
    <w:rsid w:val="00240573"/>
    <w:rsid w:val="00252A28"/>
    <w:rsid w:val="00253ED1"/>
    <w:rsid w:val="002569B2"/>
    <w:rsid w:val="00261AEB"/>
    <w:rsid w:val="00273B9B"/>
    <w:rsid w:val="00277AFB"/>
    <w:rsid w:val="0028280C"/>
    <w:rsid w:val="002947CA"/>
    <w:rsid w:val="00294CE4"/>
    <w:rsid w:val="00295379"/>
    <w:rsid w:val="00296055"/>
    <w:rsid w:val="002A2C4C"/>
    <w:rsid w:val="002A3ED4"/>
    <w:rsid w:val="002A5309"/>
    <w:rsid w:val="002A6108"/>
    <w:rsid w:val="002B3CC5"/>
    <w:rsid w:val="002C4D01"/>
    <w:rsid w:val="002C67BA"/>
    <w:rsid w:val="002D2B93"/>
    <w:rsid w:val="002D7D52"/>
    <w:rsid w:val="002E2A14"/>
    <w:rsid w:val="002E4A9B"/>
    <w:rsid w:val="002F033A"/>
    <w:rsid w:val="00303D8C"/>
    <w:rsid w:val="003065EB"/>
    <w:rsid w:val="003133A8"/>
    <w:rsid w:val="003214B7"/>
    <w:rsid w:val="00326EAC"/>
    <w:rsid w:val="0033621C"/>
    <w:rsid w:val="00336981"/>
    <w:rsid w:val="0033788E"/>
    <w:rsid w:val="0034467A"/>
    <w:rsid w:val="0034522F"/>
    <w:rsid w:val="00355196"/>
    <w:rsid w:val="0036754E"/>
    <w:rsid w:val="0037242E"/>
    <w:rsid w:val="00377654"/>
    <w:rsid w:val="003844F0"/>
    <w:rsid w:val="003936C3"/>
    <w:rsid w:val="0039403B"/>
    <w:rsid w:val="003A1C9A"/>
    <w:rsid w:val="003B5E6A"/>
    <w:rsid w:val="003C22C3"/>
    <w:rsid w:val="003D5C78"/>
    <w:rsid w:val="003F3361"/>
    <w:rsid w:val="003F3FD1"/>
    <w:rsid w:val="00404687"/>
    <w:rsid w:val="00420089"/>
    <w:rsid w:val="004233BD"/>
    <w:rsid w:val="004276A2"/>
    <w:rsid w:val="004332F3"/>
    <w:rsid w:val="00455E82"/>
    <w:rsid w:val="00455F0B"/>
    <w:rsid w:val="004566BC"/>
    <w:rsid w:val="004658CD"/>
    <w:rsid w:val="00465DB0"/>
    <w:rsid w:val="004705A0"/>
    <w:rsid w:val="0047241E"/>
    <w:rsid w:val="00477E4D"/>
    <w:rsid w:val="00491AF5"/>
    <w:rsid w:val="00496C9C"/>
    <w:rsid w:val="004A04F8"/>
    <w:rsid w:val="004A4B8B"/>
    <w:rsid w:val="004B0786"/>
    <w:rsid w:val="004B5FDF"/>
    <w:rsid w:val="004B726F"/>
    <w:rsid w:val="004C1314"/>
    <w:rsid w:val="004C31B6"/>
    <w:rsid w:val="004C691F"/>
    <w:rsid w:val="004D0303"/>
    <w:rsid w:val="004D239E"/>
    <w:rsid w:val="004D5E82"/>
    <w:rsid w:val="004D7A26"/>
    <w:rsid w:val="004E2A72"/>
    <w:rsid w:val="004F1177"/>
    <w:rsid w:val="004F2EF1"/>
    <w:rsid w:val="004F40AB"/>
    <w:rsid w:val="004F7B0F"/>
    <w:rsid w:val="00501C05"/>
    <w:rsid w:val="00506325"/>
    <w:rsid w:val="00512BCE"/>
    <w:rsid w:val="005212EF"/>
    <w:rsid w:val="00523E83"/>
    <w:rsid w:val="00523FD8"/>
    <w:rsid w:val="0052494C"/>
    <w:rsid w:val="00525C3C"/>
    <w:rsid w:val="00532609"/>
    <w:rsid w:val="00532C6F"/>
    <w:rsid w:val="00541F1E"/>
    <w:rsid w:val="005447F5"/>
    <w:rsid w:val="0054560E"/>
    <w:rsid w:val="00556FDC"/>
    <w:rsid w:val="00557340"/>
    <w:rsid w:val="00560A4F"/>
    <w:rsid w:val="00563514"/>
    <w:rsid w:val="00563C43"/>
    <w:rsid w:val="00567FEB"/>
    <w:rsid w:val="005702D3"/>
    <w:rsid w:val="00584B15"/>
    <w:rsid w:val="00587F9D"/>
    <w:rsid w:val="005910C6"/>
    <w:rsid w:val="0059141B"/>
    <w:rsid w:val="005919A5"/>
    <w:rsid w:val="00591EC6"/>
    <w:rsid w:val="0059415C"/>
    <w:rsid w:val="005970BC"/>
    <w:rsid w:val="00597D2B"/>
    <w:rsid w:val="005A7240"/>
    <w:rsid w:val="005B0CA5"/>
    <w:rsid w:val="005B18F3"/>
    <w:rsid w:val="005B64FE"/>
    <w:rsid w:val="005C0DA6"/>
    <w:rsid w:val="005C1821"/>
    <w:rsid w:val="005C268B"/>
    <w:rsid w:val="005E0CF4"/>
    <w:rsid w:val="005F5D53"/>
    <w:rsid w:val="005F6702"/>
    <w:rsid w:val="006026EE"/>
    <w:rsid w:val="00606D7A"/>
    <w:rsid w:val="00615008"/>
    <w:rsid w:val="00617A5C"/>
    <w:rsid w:val="00626833"/>
    <w:rsid w:val="00627EE8"/>
    <w:rsid w:val="00635322"/>
    <w:rsid w:val="006419DF"/>
    <w:rsid w:val="00641FF5"/>
    <w:rsid w:val="00644D32"/>
    <w:rsid w:val="00652533"/>
    <w:rsid w:val="00653ADB"/>
    <w:rsid w:val="00655646"/>
    <w:rsid w:val="00660558"/>
    <w:rsid w:val="00666C44"/>
    <w:rsid w:val="00672285"/>
    <w:rsid w:val="0068237F"/>
    <w:rsid w:val="00685A23"/>
    <w:rsid w:val="006A080A"/>
    <w:rsid w:val="006A566A"/>
    <w:rsid w:val="006A69EE"/>
    <w:rsid w:val="006B1807"/>
    <w:rsid w:val="006B37D7"/>
    <w:rsid w:val="006C5748"/>
    <w:rsid w:val="006D5603"/>
    <w:rsid w:val="006D6728"/>
    <w:rsid w:val="006E0EFD"/>
    <w:rsid w:val="006E2306"/>
    <w:rsid w:val="006E3A27"/>
    <w:rsid w:val="006F25B2"/>
    <w:rsid w:val="006F6153"/>
    <w:rsid w:val="006F6BB8"/>
    <w:rsid w:val="00701EF3"/>
    <w:rsid w:val="007123E5"/>
    <w:rsid w:val="007153D4"/>
    <w:rsid w:val="00730B76"/>
    <w:rsid w:val="00732F92"/>
    <w:rsid w:val="00733C7F"/>
    <w:rsid w:val="00733DBC"/>
    <w:rsid w:val="007363BC"/>
    <w:rsid w:val="0074630C"/>
    <w:rsid w:val="007602CC"/>
    <w:rsid w:val="00762D33"/>
    <w:rsid w:val="0077052E"/>
    <w:rsid w:val="00773CE6"/>
    <w:rsid w:val="00776779"/>
    <w:rsid w:val="00782D81"/>
    <w:rsid w:val="00792A46"/>
    <w:rsid w:val="007A1FFC"/>
    <w:rsid w:val="007A495A"/>
    <w:rsid w:val="007A55F8"/>
    <w:rsid w:val="007A69A4"/>
    <w:rsid w:val="007B7C9A"/>
    <w:rsid w:val="007C36D7"/>
    <w:rsid w:val="007E49E9"/>
    <w:rsid w:val="007E5080"/>
    <w:rsid w:val="007E6515"/>
    <w:rsid w:val="007E6877"/>
    <w:rsid w:val="007E76D9"/>
    <w:rsid w:val="007F16C0"/>
    <w:rsid w:val="007F4690"/>
    <w:rsid w:val="007F7707"/>
    <w:rsid w:val="00800CD4"/>
    <w:rsid w:val="00803D03"/>
    <w:rsid w:val="008053C2"/>
    <w:rsid w:val="00805476"/>
    <w:rsid w:val="00807EA1"/>
    <w:rsid w:val="00812212"/>
    <w:rsid w:val="0081286C"/>
    <w:rsid w:val="00816ECA"/>
    <w:rsid w:val="008170F1"/>
    <w:rsid w:val="00820078"/>
    <w:rsid w:val="00834CE7"/>
    <w:rsid w:val="00837B42"/>
    <w:rsid w:val="00837CF1"/>
    <w:rsid w:val="008443C7"/>
    <w:rsid w:val="00845A88"/>
    <w:rsid w:val="00847A66"/>
    <w:rsid w:val="00850FCC"/>
    <w:rsid w:val="00851170"/>
    <w:rsid w:val="00857FD0"/>
    <w:rsid w:val="00860882"/>
    <w:rsid w:val="00860A0D"/>
    <w:rsid w:val="0086125E"/>
    <w:rsid w:val="00863CB8"/>
    <w:rsid w:val="008739ED"/>
    <w:rsid w:val="00876505"/>
    <w:rsid w:val="008821AC"/>
    <w:rsid w:val="0088428C"/>
    <w:rsid w:val="0088515C"/>
    <w:rsid w:val="00890AD5"/>
    <w:rsid w:val="00891535"/>
    <w:rsid w:val="00893C97"/>
    <w:rsid w:val="008A286F"/>
    <w:rsid w:val="008A369D"/>
    <w:rsid w:val="008A5D2D"/>
    <w:rsid w:val="008A5E60"/>
    <w:rsid w:val="008A72B6"/>
    <w:rsid w:val="008B1D1A"/>
    <w:rsid w:val="008B33C4"/>
    <w:rsid w:val="008C03C1"/>
    <w:rsid w:val="008C467F"/>
    <w:rsid w:val="008D5236"/>
    <w:rsid w:val="008D6957"/>
    <w:rsid w:val="008E4B0D"/>
    <w:rsid w:val="008E7D6E"/>
    <w:rsid w:val="008F0E07"/>
    <w:rsid w:val="008F6C39"/>
    <w:rsid w:val="009017EA"/>
    <w:rsid w:val="009018F3"/>
    <w:rsid w:val="009067FF"/>
    <w:rsid w:val="00907F82"/>
    <w:rsid w:val="00911C84"/>
    <w:rsid w:val="009151DF"/>
    <w:rsid w:val="009161AB"/>
    <w:rsid w:val="00917832"/>
    <w:rsid w:val="00931A74"/>
    <w:rsid w:val="009363C6"/>
    <w:rsid w:val="009473D7"/>
    <w:rsid w:val="00950080"/>
    <w:rsid w:val="00957D7E"/>
    <w:rsid w:val="009614E1"/>
    <w:rsid w:val="009623BA"/>
    <w:rsid w:val="00965B3D"/>
    <w:rsid w:val="00967D31"/>
    <w:rsid w:val="00971243"/>
    <w:rsid w:val="00976D3F"/>
    <w:rsid w:val="0099092D"/>
    <w:rsid w:val="009940A1"/>
    <w:rsid w:val="0099576C"/>
    <w:rsid w:val="009A15F8"/>
    <w:rsid w:val="009A4BD2"/>
    <w:rsid w:val="009A6E88"/>
    <w:rsid w:val="009B0480"/>
    <w:rsid w:val="009B4731"/>
    <w:rsid w:val="009C1518"/>
    <w:rsid w:val="009D07DC"/>
    <w:rsid w:val="009D21CC"/>
    <w:rsid w:val="009E32F3"/>
    <w:rsid w:val="009E5E71"/>
    <w:rsid w:val="00A03245"/>
    <w:rsid w:val="00A05FA6"/>
    <w:rsid w:val="00A076C9"/>
    <w:rsid w:val="00A1192B"/>
    <w:rsid w:val="00A125B0"/>
    <w:rsid w:val="00A154C9"/>
    <w:rsid w:val="00A157D4"/>
    <w:rsid w:val="00A212FC"/>
    <w:rsid w:val="00A27118"/>
    <w:rsid w:val="00A303BA"/>
    <w:rsid w:val="00A35056"/>
    <w:rsid w:val="00A428DC"/>
    <w:rsid w:val="00A468FD"/>
    <w:rsid w:val="00A521D7"/>
    <w:rsid w:val="00A5649F"/>
    <w:rsid w:val="00A65B33"/>
    <w:rsid w:val="00A66C22"/>
    <w:rsid w:val="00A76AAB"/>
    <w:rsid w:val="00A773CD"/>
    <w:rsid w:val="00A81285"/>
    <w:rsid w:val="00A85856"/>
    <w:rsid w:val="00A92E57"/>
    <w:rsid w:val="00A960DD"/>
    <w:rsid w:val="00A9787C"/>
    <w:rsid w:val="00AB11BA"/>
    <w:rsid w:val="00AB3973"/>
    <w:rsid w:val="00AB49ED"/>
    <w:rsid w:val="00AB57D5"/>
    <w:rsid w:val="00AD18EF"/>
    <w:rsid w:val="00AD45E1"/>
    <w:rsid w:val="00AF6A13"/>
    <w:rsid w:val="00B019F0"/>
    <w:rsid w:val="00B01DFE"/>
    <w:rsid w:val="00B03048"/>
    <w:rsid w:val="00B13555"/>
    <w:rsid w:val="00B167D3"/>
    <w:rsid w:val="00B21A82"/>
    <w:rsid w:val="00B25589"/>
    <w:rsid w:val="00B32CF1"/>
    <w:rsid w:val="00B37291"/>
    <w:rsid w:val="00B40563"/>
    <w:rsid w:val="00B4068A"/>
    <w:rsid w:val="00B4625A"/>
    <w:rsid w:val="00B53823"/>
    <w:rsid w:val="00B54E80"/>
    <w:rsid w:val="00B5738D"/>
    <w:rsid w:val="00B57A70"/>
    <w:rsid w:val="00B6342D"/>
    <w:rsid w:val="00B6720D"/>
    <w:rsid w:val="00B67685"/>
    <w:rsid w:val="00B705FC"/>
    <w:rsid w:val="00B72167"/>
    <w:rsid w:val="00B840A4"/>
    <w:rsid w:val="00B9263D"/>
    <w:rsid w:val="00BA0092"/>
    <w:rsid w:val="00BA0382"/>
    <w:rsid w:val="00BA0D67"/>
    <w:rsid w:val="00BA1EB5"/>
    <w:rsid w:val="00BA35BA"/>
    <w:rsid w:val="00BA5372"/>
    <w:rsid w:val="00BB0D54"/>
    <w:rsid w:val="00BB1603"/>
    <w:rsid w:val="00BC3282"/>
    <w:rsid w:val="00BC4420"/>
    <w:rsid w:val="00BD3ED4"/>
    <w:rsid w:val="00BD6415"/>
    <w:rsid w:val="00BE012E"/>
    <w:rsid w:val="00BE7E70"/>
    <w:rsid w:val="00BF1C94"/>
    <w:rsid w:val="00BF1CEE"/>
    <w:rsid w:val="00BF33F1"/>
    <w:rsid w:val="00C06DB7"/>
    <w:rsid w:val="00C1198D"/>
    <w:rsid w:val="00C159AB"/>
    <w:rsid w:val="00C15D38"/>
    <w:rsid w:val="00C251CA"/>
    <w:rsid w:val="00C30D45"/>
    <w:rsid w:val="00C31E8E"/>
    <w:rsid w:val="00C42B70"/>
    <w:rsid w:val="00C42BDC"/>
    <w:rsid w:val="00C46E5A"/>
    <w:rsid w:val="00C57189"/>
    <w:rsid w:val="00C61210"/>
    <w:rsid w:val="00C616E1"/>
    <w:rsid w:val="00C618BC"/>
    <w:rsid w:val="00C702D5"/>
    <w:rsid w:val="00C80764"/>
    <w:rsid w:val="00C82A79"/>
    <w:rsid w:val="00C82CF7"/>
    <w:rsid w:val="00C82F7A"/>
    <w:rsid w:val="00CA05D1"/>
    <w:rsid w:val="00CA0C2D"/>
    <w:rsid w:val="00CA2FE9"/>
    <w:rsid w:val="00CB2F24"/>
    <w:rsid w:val="00CB7B90"/>
    <w:rsid w:val="00CC4D77"/>
    <w:rsid w:val="00CC6D3A"/>
    <w:rsid w:val="00CD3388"/>
    <w:rsid w:val="00CD483F"/>
    <w:rsid w:val="00CE2C28"/>
    <w:rsid w:val="00CE7168"/>
    <w:rsid w:val="00CF077A"/>
    <w:rsid w:val="00CF27AC"/>
    <w:rsid w:val="00CF3EF0"/>
    <w:rsid w:val="00D00C1C"/>
    <w:rsid w:val="00D15607"/>
    <w:rsid w:val="00D1635B"/>
    <w:rsid w:val="00D21ACC"/>
    <w:rsid w:val="00D223AF"/>
    <w:rsid w:val="00D278E0"/>
    <w:rsid w:val="00D34481"/>
    <w:rsid w:val="00D4760A"/>
    <w:rsid w:val="00D512C1"/>
    <w:rsid w:val="00D53102"/>
    <w:rsid w:val="00D5356D"/>
    <w:rsid w:val="00D53BE3"/>
    <w:rsid w:val="00D631D8"/>
    <w:rsid w:val="00D6544D"/>
    <w:rsid w:val="00D74337"/>
    <w:rsid w:val="00D9578A"/>
    <w:rsid w:val="00D97601"/>
    <w:rsid w:val="00DC1254"/>
    <w:rsid w:val="00DD5C76"/>
    <w:rsid w:val="00DE6623"/>
    <w:rsid w:val="00DE740B"/>
    <w:rsid w:val="00DF5E48"/>
    <w:rsid w:val="00E13481"/>
    <w:rsid w:val="00E17632"/>
    <w:rsid w:val="00E41977"/>
    <w:rsid w:val="00E43914"/>
    <w:rsid w:val="00E47171"/>
    <w:rsid w:val="00E530B6"/>
    <w:rsid w:val="00E55401"/>
    <w:rsid w:val="00E555D6"/>
    <w:rsid w:val="00E61FC8"/>
    <w:rsid w:val="00E65F13"/>
    <w:rsid w:val="00E663E7"/>
    <w:rsid w:val="00E66D38"/>
    <w:rsid w:val="00E7786D"/>
    <w:rsid w:val="00E77D80"/>
    <w:rsid w:val="00EA3AEA"/>
    <w:rsid w:val="00EA504A"/>
    <w:rsid w:val="00EA5C62"/>
    <w:rsid w:val="00EA7703"/>
    <w:rsid w:val="00EA79B1"/>
    <w:rsid w:val="00EC42D8"/>
    <w:rsid w:val="00EC52EA"/>
    <w:rsid w:val="00ED423C"/>
    <w:rsid w:val="00EE1B2A"/>
    <w:rsid w:val="00EE47C1"/>
    <w:rsid w:val="00EE7C6D"/>
    <w:rsid w:val="00EF24EF"/>
    <w:rsid w:val="00EF792F"/>
    <w:rsid w:val="00F00341"/>
    <w:rsid w:val="00F046CD"/>
    <w:rsid w:val="00F107D8"/>
    <w:rsid w:val="00F118C9"/>
    <w:rsid w:val="00F11F2A"/>
    <w:rsid w:val="00F1762A"/>
    <w:rsid w:val="00F204FD"/>
    <w:rsid w:val="00F2230C"/>
    <w:rsid w:val="00F349AA"/>
    <w:rsid w:val="00F374DA"/>
    <w:rsid w:val="00F41F90"/>
    <w:rsid w:val="00F43AE3"/>
    <w:rsid w:val="00F4700C"/>
    <w:rsid w:val="00F6019A"/>
    <w:rsid w:val="00F61D9A"/>
    <w:rsid w:val="00F67866"/>
    <w:rsid w:val="00F67D00"/>
    <w:rsid w:val="00F9773C"/>
    <w:rsid w:val="00FA3ABC"/>
    <w:rsid w:val="00FB04DE"/>
    <w:rsid w:val="00FB7411"/>
    <w:rsid w:val="00FC0A9F"/>
    <w:rsid w:val="00FC40CD"/>
    <w:rsid w:val="00FC4CB7"/>
    <w:rsid w:val="00FC74EB"/>
    <w:rsid w:val="00FC7927"/>
    <w:rsid w:val="00FD4951"/>
    <w:rsid w:val="00FD541A"/>
    <w:rsid w:val="00FD6773"/>
    <w:rsid w:val="00FE1624"/>
    <w:rsid w:val="00FE68B8"/>
    <w:rsid w:val="00FF31F4"/>
    <w:rsid w:val="00FF3283"/>
    <w:rsid w:val="00FF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7D1D4"/>
  <w15:chartTrackingRefBased/>
  <w15:docId w15:val="{0FCF5FBF-252C-4DE5-8C71-C3E249DF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E1C"/>
    <w:pPr>
      <w:ind w:left="720"/>
      <w:contextualSpacing/>
    </w:pPr>
  </w:style>
  <w:style w:type="paragraph" w:styleId="Header">
    <w:name w:val="header"/>
    <w:basedOn w:val="Normal"/>
    <w:link w:val="HeaderChar"/>
    <w:uiPriority w:val="99"/>
    <w:unhideWhenUsed/>
    <w:rsid w:val="009D0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7DC"/>
  </w:style>
  <w:style w:type="paragraph" w:styleId="Footer">
    <w:name w:val="footer"/>
    <w:basedOn w:val="Normal"/>
    <w:link w:val="FooterChar"/>
    <w:uiPriority w:val="99"/>
    <w:unhideWhenUsed/>
    <w:rsid w:val="009D0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7DC"/>
  </w:style>
  <w:style w:type="paragraph" w:styleId="NormalWeb">
    <w:name w:val="Normal (Web)"/>
    <w:basedOn w:val="Normal"/>
    <w:uiPriority w:val="99"/>
    <w:semiHidden/>
    <w:unhideWhenUsed/>
    <w:rsid w:val="00A428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A428DC"/>
    <w:rPr>
      <w:color w:val="0000FF"/>
      <w:u w:val="single"/>
    </w:rPr>
  </w:style>
  <w:style w:type="character" w:customStyle="1" w:styleId="highlight1">
    <w:name w:val="highlight1"/>
    <w:basedOn w:val="DefaultParagraphFont"/>
    <w:rsid w:val="00A428DC"/>
    <w:rPr>
      <w:shd w:val="clear" w:color="auto" w:fill="FFFF40"/>
    </w:rPr>
  </w:style>
  <w:style w:type="paragraph" w:customStyle="1" w:styleId="DFARS">
    <w:name w:val="DFARS"/>
    <w:basedOn w:val="Normal"/>
    <w:link w:val="DFARSChar"/>
    <w:rsid w:val="00BD3ED4"/>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BalloonText">
    <w:name w:val="Balloon Text"/>
    <w:basedOn w:val="Normal"/>
    <w:link w:val="BalloonTextChar"/>
    <w:uiPriority w:val="99"/>
    <w:semiHidden/>
    <w:unhideWhenUsed/>
    <w:rsid w:val="006E0E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EFD"/>
    <w:rPr>
      <w:rFonts w:ascii="Segoe UI" w:hAnsi="Segoe UI" w:cs="Segoe UI"/>
      <w:sz w:val="18"/>
      <w:szCs w:val="18"/>
    </w:rPr>
  </w:style>
  <w:style w:type="character" w:styleId="CommentReference">
    <w:name w:val="annotation reference"/>
    <w:uiPriority w:val="99"/>
    <w:semiHidden/>
    <w:unhideWhenUsed/>
    <w:rsid w:val="004F40AB"/>
    <w:rPr>
      <w:sz w:val="16"/>
      <w:szCs w:val="16"/>
    </w:rPr>
  </w:style>
  <w:style w:type="paragraph" w:styleId="CommentText">
    <w:name w:val="annotation text"/>
    <w:basedOn w:val="Normal"/>
    <w:link w:val="CommentTextChar"/>
    <w:uiPriority w:val="99"/>
    <w:semiHidden/>
    <w:unhideWhenUsed/>
    <w:rsid w:val="004F40AB"/>
    <w:pPr>
      <w:spacing w:after="200" w:line="276" w:lineRule="auto"/>
    </w:pPr>
    <w:rPr>
      <w:rFonts w:ascii="Times New Roman" w:eastAsia="Calibri" w:hAnsi="Times New Roman" w:cs="Times New Roman"/>
      <w:sz w:val="20"/>
      <w:szCs w:val="20"/>
    </w:rPr>
  </w:style>
  <w:style w:type="character" w:customStyle="1" w:styleId="CommentTextChar">
    <w:name w:val="Comment Text Char"/>
    <w:basedOn w:val="DefaultParagraphFont"/>
    <w:link w:val="CommentText"/>
    <w:uiPriority w:val="99"/>
    <w:semiHidden/>
    <w:rsid w:val="004F40AB"/>
    <w:rPr>
      <w:rFonts w:ascii="Times New Roman" w:eastAsia="Calibri" w:hAnsi="Times New Roman" w:cs="Times New Roman"/>
      <w:sz w:val="20"/>
      <w:szCs w:val="20"/>
    </w:rPr>
  </w:style>
  <w:style w:type="character" w:customStyle="1" w:styleId="DFARSChar">
    <w:name w:val="DFARS Char"/>
    <w:link w:val="DFARS"/>
    <w:locked/>
    <w:rsid w:val="004F40AB"/>
    <w:rPr>
      <w:rFonts w:ascii="Century Schoolbook" w:eastAsia="Times New Roman" w:hAnsi="Century Schoolbook" w:cs="Times New Roman"/>
      <w:spacing w:val="-5"/>
      <w:kern w:val="20"/>
      <w:sz w:val="24"/>
      <w:szCs w:val="20"/>
    </w:rPr>
  </w:style>
  <w:style w:type="paragraph" w:styleId="FootnoteText">
    <w:name w:val="footnote text"/>
    <w:basedOn w:val="Normal"/>
    <w:link w:val="FootnoteTextChar"/>
    <w:uiPriority w:val="99"/>
    <w:semiHidden/>
    <w:unhideWhenUsed/>
    <w:rsid w:val="00BB16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603"/>
    <w:rPr>
      <w:sz w:val="20"/>
      <w:szCs w:val="20"/>
    </w:rPr>
  </w:style>
  <w:style w:type="character" w:styleId="FootnoteReference">
    <w:name w:val="footnote reference"/>
    <w:basedOn w:val="DefaultParagraphFont"/>
    <w:uiPriority w:val="99"/>
    <w:semiHidden/>
    <w:unhideWhenUsed/>
    <w:rsid w:val="00BB1603"/>
    <w:rPr>
      <w:vertAlign w:val="superscript"/>
    </w:rPr>
  </w:style>
  <w:style w:type="paragraph" w:styleId="NoSpacing">
    <w:name w:val="No Spacing"/>
    <w:uiPriority w:val="1"/>
    <w:qFormat/>
    <w:rsid w:val="00CF27AC"/>
    <w:pPr>
      <w:spacing w:after="0" w:line="240" w:lineRule="auto"/>
    </w:pPr>
  </w:style>
  <w:style w:type="paragraph" w:styleId="PlainText">
    <w:name w:val="Plain Text"/>
    <w:basedOn w:val="Normal"/>
    <w:link w:val="PlainTextChar"/>
    <w:uiPriority w:val="99"/>
    <w:unhideWhenUsed/>
    <w:rsid w:val="0086125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6125E"/>
    <w:rPr>
      <w:rFonts w:ascii="Calibri" w:hAnsi="Calibri"/>
      <w:szCs w:val="21"/>
    </w:rPr>
  </w:style>
  <w:style w:type="character" w:styleId="LineNumber">
    <w:name w:val="line number"/>
    <w:basedOn w:val="DefaultParagraphFont"/>
    <w:uiPriority w:val="99"/>
    <w:semiHidden/>
    <w:unhideWhenUsed/>
    <w:rsid w:val="00627EE8"/>
  </w:style>
  <w:style w:type="paragraph" w:styleId="CommentSubject">
    <w:name w:val="annotation subject"/>
    <w:basedOn w:val="CommentText"/>
    <w:next w:val="CommentText"/>
    <w:link w:val="CommentSubjectChar"/>
    <w:uiPriority w:val="99"/>
    <w:semiHidden/>
    <w:unhideWhenUsed/>
    <w:rsid w:val="003D5C78"/>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D5C78"/>
    <w:rPr>
      <w:rFonts w:ascii="Times New Roman" w:eastAsia="Calibri" w:hAnsi="Times New Roman" w:cs="Times New Roman"/>
      <w:b/>
      <w:bCs/>
      <w:sz w:val="20"/>
      <w:szCs w:val="20"/>
    </w:rPr>
  </w:style>
  <w:style w:type="character" w:styleId="FollowedHyperlink">
    <w:name w:val="FollowedHyperlink"/>
    <w:basedOn w:val="DefaultParagraphFont"/>
    <w:uiPriority w:val="99"/>
    <w:semiHidden/>
    <w:unhideWhenUsed/>
    <w:rsid w:val="00523FD8"/>
    <w:rPr>
      <w:color w:val="954F72" w:themeColor="followedHyperlink"/>
      <w:u w:val="single"/>
    </w:rPr>
  </w:style>
  <w:style w:type="character" w:styleId="Strong">
    <w:name w:val="Strong"/>
    <w:basedOn w:val="DefaultParagraphFont"/>
    <w:uiPriority w:val="22"/>
    <w:qFormat/>
    <w:rsid w:val="00523FD8"/>
    <w:rPr>
      <w:b/>
      <w:bCs/>
    </w:rPr>
  </w:style>
  <w:style w:type="paragraph" w:customStyle="1" w:styleId="dfars0">
    <w:name w:val="dfars"/>
    <w:basedOn w:val="Normal"/>
    <w:rsid w:val="00523F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3FD8"/>
    <w:rPr>
      <w:i/>
      <w:iCs/>
    </w:rPr>
  </w:style>
  <w:style w:type="character" w:customStyle="1" w:styleId="UnresolvedMention1">
    <w:name w:val="Unresolved Mention1"/>
    <w:basedOn w:val="DefaultParagraphFont"/>
    <w:uiPriority w:val="99"/>
    <w:semiHidden/>
    <w:unhideWhenUsed/>
    <w:rsid w:val="00074EA7"/>
    <w:rPr>
      <w:color w:val="605E5C"/>
      <w:shd w:val="clear" w:color="auto" w:fill="E1DFDD"/>
    </w:rPr>
  </w:style>
  <w:style w:type="paragraph" w:styleId="Revision">
    <w:name w:val="Revision"/>
    <w:hidden/>
    <w:uiPriority w:val="99"/>
    <w:semiHidden/>
    <w:rsid w:val="00644D32"/>
    <w:pPr>
      <w:spacing w:after="0" w:line="240" w:lineRule="auto"/>
    </w:pPr>
  </w:style>
  <w:style w:type="character" w:customStyle="1" w:styleId="UnresolvedMention">
    <w:name w:val="Unresolved Mention"/>
    <w:basedOn w:val="DefaultParagraphFont"/>
    <w:uiPriority w:val="99"/>
    <w:semiHidden/>
    <w:unhideWhenUsed/>
    <w:rsid w:val="00820078"/>
    <w:rPr>
      <w:color w:val="605E5C"/>
      <w:shd w:val="clear" w:color="auto" w:fill="E1DFDD"/>
    </w:rPr>
  </w:style>
  <w:style w:type="paragraph" w:customStyle="1" w:styleId="indent-3">
    <w:name w:val="indent-3"/>
    <w:basedOn w:val="Normal"/>
    <w:rsid w:val="00820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graph-hierarchy">
    <w:name w:val="paragraph-hierarchy"/>
    <w:basedOn w:val="DefaultParagraphFont"/>
    <w:rsid w:val="00820078"/>
  </w:style>
  <w:style w:type="character" w:customStyle="1" w:styleId="paren">
    <w:name w:val="paren"/>
    <w:basedOn w:val="DefaultParagraphFont"/>
    <w:rsid w:val="00820078"/>
  </w:style>
  <w:style w:type="character" w:customStyle="1" w:styleId="apple-converted-space">
    <w:name w:val="apple-converted-space"/>
    <w:basedOn w:val="DefaultParagraphFont"/>
    <w:rsid w:val="00820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863584">
      <w:bodyDiv w:val="1"/>
      <w:marLeft w:val="0"/>
      <w:marRight w:val="0"/>
      <w:marTop w:val="0"/>
      <w:marBottom w:val="0"/>
      <w:divBdr>
        <w:top w:val="none" w:sz="0" w:space="0" w:color="auto"/>
        <w:left w:val="none" w:sz="0" w:space="0" w:color="auto"/>
        <w:bottom w:val="none" w:sz="0" w:space="0" w:color="auto"/>
        <w:right w:val="none" w:sz="0" w:space="0" w:color="auto"/>
      </w:divBdr>
    </w:div>
    <w:div w:id="632951873">
      <w:bodyDiv w:val="1"/>
      <w:marLeft w:val="0"/>
      <w:marRight w:val="0"/>
      <w:marTop w:val="0"/>
      <w:marBottom w:val="0"/>
      <w:divBdr>
        <w:top w:val="none" w:sz="0" w:space="0" w:color="auto"/>
        <w:left w:val="none" w:sz="0" w:space="0" w:color="auto"/>
        <w:bottom w:val="none" w:sz="0" w:space="0" w:color="auto"/>
        <w:right w:val="none" w:sz="0" w:space="0" w:color="auto"/>
      </w:divBdr>
      <w:divsChild>
        <w:div w:id="1497190151">
          <w:marLeft w:val="0"/>
          <w:marRight w:val="0"/>
          <w:marTop w:val="0"/>
          <w:marBottom w:val="0"/>
          <w:divBdr>
            <w:top w:val="none" w:sz="0" w:space="0" w:color="auto"/>
            <w:left w:val="none" w:sz="0" w:space="0" w:color="auto"/>
            <w:bottom w:val="none" w:sz="0" w:space="0" w:color="auto"/>
            <w:right w:val="none" w:sz="0" w:space="0" w:color="auto"/>
          </w:divBdr>
        </w:div>
        <w:div w:id="1714497624">
          <w:marLeft w:val="0"/>
          <w:marRight w:val="0"/>
          <w:marTop w:val="0"/>
          <w:marBottom w:val="0"/>
          <w:divBdr>
            <w:top w:val="none" w:sz="0" w:space="0" w:color="auto"/>
            <w:left w:val="none" w:sz="0" w:space="0" w:color="auto"/>
            <w:bottom w:val="none" w:sz="0" w:space="0" w:color="auto"/>
            <w:right w:val="none" w:sz="0" w:space="0" w:color="auto"/>
          </w:divBdr>
        </w:div>
        <w:div w:id="1541435698">
          <w:marLeft w:val="0"/>
          <w:marRight w:val="0"/>
          <w:marTop w:val="0"/>
          <w:marBottom w:val="0"/>
          <w:divBdr>
            <w:top w:val="none" w:sz="0" w:space="0" w:color="auto"/>
            <w:left w:val="none" w:sz="0" w:space="0" w:color="auto"/>
            <w:bottom w:val="none" w:sz="0" w:space="0" w:color="auto"/>
            <w:right w:val="none" w:sz="0" w:space="0" w:color="auto"/>
          </w:divBdr>
        </w:div>
      </w:divsChild>
    </w:div>
    <w:div w:id="824586505">
      <w:bodyDiv w:val="1"/>
      <w:marLeft w:val="0"/>
      <w:marRight w:val="0"/>
      <w:marTop w:val="0"/>
      <w:marBottom w:val="0"/>
      <w:divBdr>
        <w:top w:val="none" w:sz="0" w:space="0" w:color="auto"/>
        <w:left w:val="none" w:sz="0" w:space="0" w:color="auto"/>
        <w:bottom w:val="none" w:sz="0" w:space="0" w:color="auto"/>
        <w:right w:val="none" w:sz="0" w:space="0" w:color="auto"/>
      </w:divBdr>
    </w:div>
    <w:div w:id="994726856">
      <w:bodyDiv w:val="1"/>
      <w:marLeft w:val="0"/>
      <w:marRight w:val="0"/>
      <w:marTop w:val="0"/>
      <w:marBottom w:val="0"/>
      <w:divBdr>
        <w:top w:val="none" w:sz="0" w:space="0" w:color="auto"/>
        <w:left w:val="none" w:sz="0" w:space="0" w:color="auto"/>
        <w:bottom w:val="none" w:sz="0" w:space="0" w:color="auto"/>
        <w:right w:val="none" w:sz="0" w:space="0" w:color="auto"/>
      </w:divBdr>
    </w:div>
    <w:div w:id="1186360564">
      <w:bodyDiv w:val="1"/>
      <w:marLeft w:val="0"/>
      <w:marRight w:val="0"/>
      <w:marTop w:val="0"/>
      <w:marBottom w:val="0"/>
      <w:divBdr>
        <w:top w:val="none" w:sz="0" w:space="0" w:color="auto"/>
        <w:left w:val="none" w:sz="0" w:space="0" w:color="auto"/>
        <w:bottom w:val="none" w:sz="0" w:space="0" w:color="auto"/>
        <w:right w:val="none" w:sz="0" w:space="0" w:color="auto"/>
      </w:divBdr>
    </w:div>
    <w:div w:id="1328166681">
      <w:bodyDiv w:val="1"/>
      <w:marLeft w:val="0"/>
      <w:marRight w:val="0"/>
      <w:marTop w:val="0"/>
      <w:marBottom w:val="0"/>
      <w:divBdr>
        <w:top w:val="none" w:sz="0" w:space="0" w:color="auto"/>
        <w:left w:val="none" w:sz="0" w:space="0" w:color="auto"/>
        <w:bottom w:val="none" w:sz="0" w:space="0" w:color="auto"/>
        <w:right w:val="none" w:sz="0" w:space="0" w:color="auto"/>
      </w:divBdr>
      <w:divsChild>
        <w:div w:id="1975795826">
          <w:marLeft w:val="0"/>
          <w:marRight w:val="0"/>
          <w:marTop w:val="0"/>
          <w:marBottom w:val="0"/>
          <w:divBdr>
            <w:top w:val="none" w:sz="0" w:space="0" w:color="auto"/>
            <w:left w:val="none" w:sz="0" w:space="0" w:color="auto"/>
            <w:bottom w:val="none" w:sz="0" w:space="0" w:color="auto"/>
            <w:right w:val="none" w:sz="0" w:space="0" w:color="auto"/>
          </w:divBdr>
        </w:div>
        <w:div w:id="1846048140">
          <w:marLeft w:val="0"/>
          <w:marRight w:val="0"/>
          <w:marTop w:val="0"/>
          <w:marBottom w:val="0"/>
          <w:divBdr>
            <w:top w:val="none" w:sz="0" w:space="0" w:color="auto"/>
            <w:left w:val="none" w:sz="0" w:space="0" w:color="auto"/>
            <w:bottom w:val="none" w:sz="0" w:space="0" w:color="auto"/>
            <w:right w:val="none" w:sz="0" w:space="0" w:color="auto"/>
          </w:divBdr>
        </w:div>
        <w:div w:id="819923851">
          <w:marLeft w:val="0"/>
          <w:marRight w:val="0"/>
          <w:marTop w:val="0"/>
          <w:marBottom w:val="0"/>
          <w:divBdr>
            <w:top w:val="none" w:sz="0" w:space="0" w:color="auto"/>
            <w:left w:val="none" w:sz="0" w:space="0" w:color="auto"/>
            <w:bottom w:val="none" w:sz="0" w:space="0" w:color="auto"/>
            <w:right w:val="none" w:sz="0" w:space="0" w:color="auto"/>
          </w:divBdr>
        </w:div>
      </w:divsChild>
    </w:div>
    <w:div w:id="1596325946">
      <w:bodyDiv w:val="1"/>
      <w:marLeft w:val="0"/>
      <w:marRight w:val="0"/>
      <w:marTop w:val="0"/>
      <w:marBottom w:val="0"/>
      <w:divBdr>
        <w:top w:val="none" w:sz="0" w:space="0" w:color="auto"/>
        <w:left w:val="none" w:sz="0" w:space="0" w:color="auto"/>
        <w:bottom w:val="none" w:sz="0" w:space="0" w:color="auto"/>
        <w:right w:val="none" w:sz="0" w:space="0" w:color="auto"/>
      </w:divBdr>
      <w:divsChild>
        <w:div w:id="949507721">
          <w:marLeft w:val="0"/>
          <w:marRight w:val="0"/>
          <w:marTop w:val="0"/>
          <w:marBottom w:val="0"/>
          <w:divBdr>
            <w:top w:val="none" w:sz="0" w:space="0" w:color="auto"/>
            <w:left w:val="none" w:sz="0" w:space="0" w:color="auto"/>
            <w:bottom w:val="none" w:sz="0" w:space="0" w:color="auto"/>
            <w:right w:val="none" w:sz="0" w:space="0" w:color="auto"/>
          </w:divBdr>
          <w:divsChild>
            <w:div w:id="55227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4151235">
      <w:bodyDiv w:val="1"/>
      <w:marLeft w:val="0"/>
      <w:marRight w:val="0"/>
      <w:marTop w:val="0"/>
      <w:marBottom w:val="0"/>
      <w:divBdr>
        <w:top w:val="none" w:sz="0" w:space="0" w:color="auto"/>
        <w:left w:val="none" w:sz="0" w:space="0" w:color="auto"/>
        <w:bottom w:val="none" w:sz="0" w:space="0" w:color="auto"/>
        <w:right w:val="none" w:sz="0" w:space="0" w:color="auto"/>
      </w:divBdr>
      <w:divsChild>
        <w:div w:id="1766610161">
          <w:marLeft w:val="0"/>
          <w:marRight w:val="0"/>
          <w:marTop w:val="0"/>
          <w:marBottom w:val="0"/>
          <w:divBdr>
            <w:top w:val="none" w:sz="0" w:space="0" w:color="auto"/>
            <w:left w:val="none" w:sz="0" w:space="0" w:color="auto"/>
            <w:bottom w:val="none" w:sz="0" w:space="0" w:color="auto"/>
            <w:right w:val="none" w:sz="0" w:space="0" w:color="auto"/>
          </w:divBdr>
        </w:div>
        <w:div w:id="1234583406">
          <w:marLeft w:val="0"/>
          <w:marRight w:val="0"/>
          <w:marTop w:val="0"/>
          <w:marBottom w:val="0"/>
          <w:divBdr>
            <w:top w:val="none" w:sz="0" w:space="0" w:color="auto"/>
            <w:left w:val="none" w:sz="0" w:space="0" w:color="auto"/>
            <w:bottom w:val="none" w:sz="0" w:space="0" w:color="auto"/>
            <w:right w:val="none" w:sz="0" w:space="0" w:color="auto"/>
          </w:divBdr>
        </w:div>
        <w:div w:id="2043633413">
          <w:marLeft w:val="0"/>
          <w:marRight w:val="0"/>
          <w:marTop w:val="0"/>
          <w:marBottom w:val="0"/>
          <w:divBdr>
            <w:top w:val="none" w:sz="0" w:space="0" w:color="auto"/>
            <w:left w:val="none" w:sz="0" w:space="0" w:color="auto"/>
            <w:bottom w:val="none" w:sz="0" w:space="0" w:color="auto"/>
            <w:right w:val="none" w:sz="0" w:space="0" w:color="auto"/>
          </w:divBdr>
        </w:div>
      </w:divsChild>
    </w:div>
    <w:div w:id="198511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osd.mil/dpap/dars/dfars/html/current/212_70.htm" TargetMode="Externa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www.acq.osd.mil/dpap/dars/pgi/pgi_htm/PGI212_1.htm" TargetMode="External"/><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osd.mil/dpap/dars/pgi/pgi_htm/PGI212_1.ht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42232-D5DA-47CF-B168-067865FFF461}">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27AD9EB4-302C-4970-96A1-4B14FF79F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685F03-E69E-4929-95D2-44A525B801EB}">
  <ds:schemaRefs>
    <ds:schemaRef ds:uri="http://schemas.microsoft.com/sharepoint/v3/contenttype/forms"/>
  </ds:schemaRefs>
</ds:datastoreItem>
</file>

<file path=customXml/itemProps4.xml><?xml version="1.0" encoding="utf-8"?>
<ds:datastoreItem xmlns:ds="http://schemas.openxmlformats.org/officeDocument/2006/customXml" ds:itemID="{9DEBCBD7-E0F6-4146-A9C9-753CD819F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JITSPP</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gomersmr</dc:creator>
  <cp:keywords/>
  <dc:description/>
  <cp:lastModifiedBy>Johnson, Jennifer D CIV OSD OUSD A-S (USA)</cp:lastModifiedBy>
  <cp:revision>3</cp:revision>
  <cp:lastPrinted>2021-07-09T20:40:00Z</cp:lastPrinted>
  <dcterms:created xsi:type="dcterms:W3CDTF">2022-04-12T23:01:00Z</dcterms:created>
  <dcterms:modified xsi:type="dcterms:W3CDTF">2022-04-18T17:39:00Z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