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CBA39" w14:textId="13869505" w:rsidR="00562B18" w:rsidRPr="00562B18" w:rsidRDefault="00A21790" w:rsidP="00540B6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bookmarkStart w:id="0" w:name="_GoBack"/>
      <w:bookmarkEnd w:id="0"/>
      <w:r>
        <w:rPr>
          <w:rFonts w:ascii="Century Schoolbook" w:hAnsi="Century Schoolbook" w:cs="Courier New"/>
          <w:b/>
          <w:bCs/>
          <w:sz w:val="24"/>
          <w:szCs w:val="24"/>
        </w:rPr>
        <w:t>DFARS Case 2021</w:t>
      </w:r>
      <w:r w:rsidR="00562B18" w:rsidRPr="00562B18">
        <w:rPr>
          <w:rFonts w:ascii="Century Schoolbook" w:hAnsi="Century Schoolbook" w:cs="Courier New"/>
          <w:b/>
          <w:bCs/>
          <w:sz w:val="24"/>
          <w:szCs w:val="24"/>
        </w:rPr>
        <w:t>-D0</w:t>
      </w:r>
      <w:r>
        <w:rPr>
          <w:rFonts w:ascii="Century Schoolbook" w:hAnsi="Century Schoolbook" w:cs="Courier New"/>
          <w:b/>
          <w:bCs/>
          <w:sz w:val="24"/>
          <w:szCs w:val="24"/>
        </w:rPr>
        <w:t>12</w:t>
      </w:r>
    </w:p>
    <w:p w14:paraId="0DD0D641" w14:textId="4235D538" w:rsidR="00562B18" w:rsidRPr="00562B18" w:rsidRDefault="00A21790" w:rsidP="00540B6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sz w:val="24"/>
          <w:szCs w:val="24"/>
          <w:shd w:val="clear" w:color="auto" w:fill="FFFFFF"/>
        </w:rPr>
      </w:pPr>
      <w:r>
        <w:rPr>
          <w:rFonts w:ascii="Century Schoolbook" w:hAnsi="Century Schoolbook" w:cs="Courier New"/>
          <w:b/>
          <w:sz w:val="24"/>
          <w:szCs w:val="24"/>
          <w:shd w:val="clear" w:color="auto" w:fill="FFFFFF"/>
        </w:rPr>
        <w:t xml:space="preserve">Contract Closeout Authority for </w:t>
      </w:r>
      <w:r w:rsidR="00F72BB3">
        <w:rPr>
          <w:rFonts w:ascii="Century Schoolbook" w:hAnsi="Century Schoolbook" w:cs="Courier New"/>
          <w:b/>
          <w:sz w:val="24"/>
          <w:szCs w:val="24"/>
          <w:shd w:val="clear" w:color="auto" w:fill="FFFFFF"/>
        </w:rPr>
        <w:t xml:space="preserve">DoD </w:t>
      </w:r>
      <w:r w:rsidR="0061177E">
        <w:rPr>
          <w:rFonts w:ascii="Century Schoolbook" w:hAnsi="Century Schoolbook" w:cs="Courier New"/>
          <w:b/>
          <w:sz w:val="24"/>
          <w:szCs w:val="24"/>
          <w:shd w:val="clear" w:color="auto" w:fill="FFFFFF"/>
        </w:rPr>
        <w:t>Service</w:t>
      </w:r>
      <w:r w:rsidR="00F72BB3">
        <w:rPr>
          <w:rFonts w:ascii="Century Schoolbook" w:hAnsi="Century Schoolbook" w:cs="Courier New"/>
          <w:b/>
          <w:sz w:val="24"/>
          <w:szCs w:val="24"/>
          <w:shd w:val="clear" w:color="auto" w:fill="FFFFFF"/>
        </w:rPr>
        <w:t>s</w:t>
      </w:r>
      <w:r>
        <w:rPr>
          <w:rFonts w:ascii="Century Schoolbook" w:hAnsi="Century Schoolbook" w:cs="Courier New"/>
          <w:b/>
          <w:sz w:val="24"/>
          <w:szCs w:val="24"/>
          <w:shd w:val="clear" w:color="auto" w:fill="FFFFFF"/>
        </w:rPr>
        <w:t xml:space="preserve"> Contracts</w:t>
      </w:r>
    </w:p>
    <w:p w14:paraId="1FB84246" w14:textId="740B1435" w:rsidR="00562B18" w:rsidRPr="00562B18" w:rsidRDefault="00A3555B" w:rsidP="00540B6C">
      <w:pPr>
        <w:tabs>
          <w:tab w:val="left" w:pos="360"/>
          <w:tab w:val="left" w:pos="806"/>
          <w:tab w:val="left" w:pos="1210"/>
          <w:tab w:val="left" w:pos="1656"/>
          <w:tab w:val="left" w:pos="2131"/>
          <w:tab w:val="left" w:pos="2520"/>
        </w:tabs>
        <w:spacing w:after="0" w:line="240" w:lineRule="exact"/>
        <w:jc w:val="center"/>
        <w:outlineLvl w:val="3"/>
        <w:rPr>
          <w:rFonts w:ascii="Century Schoolbook" w:hAnsi="Century Schoolbook" w:cs="Courier New"/>
          <w:b/>
          <w:bCs/>
          <w:sz w:val="24"/>
          <w:szCs w:val="24"/>
        </w:rPr>
      </w:pPr>
      <w:r>
        <w:rPr>
          <w:rFonts w:ascii="Century Schoolbook" w:hAnsi="Century Schoolbook" w:cs="Courier New"/>
          <w:b/>
          <w:bCs/>
          <w:sz w:val="24"/>
          <w:szCs w:val="24"/>
        </w:rPr>
        <w:t>Final</w:t>
      </w:r>
      <w:r w:rsidR="00562B18" w:rsidRPr="00562B18">
        <w:rPr>
          <w:rFonts w:ascii="Century Schoolbook" w:hAnsi="Century Schoolbook" w:cs="Courier New"/>
          <w:b/>
          <w:bCs/>
          <w:sz w:val="24"/>
          <w:szCs w:val="24"/>
        </w:rPr>
        <w:t xml:space="preserve"> Rule</w:t>
      </w:r>
    </w:p>
    <w:p w14:paraId="57DF3FCF" w14:textId="52079695" w:rsidR="00562B18" w:rsidRDefault="00562B18" w:rsidP="00540B6C">
      <w:pPr>
        <w:pStyle w:val="DFARS"/>
        <w:tabs>
          <w:tab w:val="clear" w:pos="810"/>
          <w:tab w:val="left" w:pos="806"/>
        </w:tabs>
        <w:jc w:val="center"/>
        <w:rPr>
          <w:b/>
          <w:szCs w:val="24"/>
        </w:rPr>
      </w:pPr>
    </w:p>
    <w:p w14:paraId="0AB1030A" w14:textId="77777777" w:rsidR="00A21790" w:rsidRDefault="00A21790" w:rsidP="00540B6C">
      <w:pPr>
        <w:tabs>
          <w:tab w:val="left" w:pos="360"/>
          <w:tab w:val="left" w:pos="806"/>
          <w:tab w:val="left" w:pos="1210"/>
          <w:tab w:val="left" w:pos="1656"/>
          <w:tab w:val="left" w:pos="2131"/>
          <w:tab w:val="left" w:pos="2520"/>
        </w:tabs>
        <w:spacing w:after="0" w:line="240" w:lineRule="exact"/>
        <w:outlineLvl w:val="1"/>
        <w:rPr>
          <w:rFonts w:ascii="Century Schoolbook" w:eastAsia="Times New Roman" w:hAnsi="Century Schoolbook" w:cs="Courier New"/>
          <w:b/>
          <w:bCs/>
          <w:noProof/>
          <w:color w:val="000000"/>
          <w:sz w:val="24"/>
          <w:szCs w:val="24"/>
        </w:rPr>
      </w:pPr>
    </w:p>
    <w:p w14:paraId="43CE4756" w14:textId="3A523263" w:rsidR="00A21790" w:rsidRDefault="00A21790" w:rsidP="00540B6C">
      <w:pPr>
        <w:tabs>
          <w:tab w:val="left" w:pos="360"/>
          <w:tab w:val="left" w:pos="806"/>
          <w:tab w:val="left" w:pos="1210"/>
          <w:tab w:val="left" w:pos="1656"/>
          <w:tab w:val="left" w:pos="2131"/>
          <w:tab w:val="left" w:pos="2520"/>
        </w:tabs>
        <w:spacing w:after="0" w:line="240" w:lineRule="exact"/>
        <w:jc w:val="center"/>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PART 204</w:t>
      </w:r>
      <w:r w:rsidRPr="006E6C79">
        <w:rPr>
          <w:rFonts w:ascii="Century Schoolbook" w:eastAsia="Times New Roman" w:hAnsi="Century Schoolbook" w:cs="Courier New"/>
          <w:b/>
          <w:bCs/>
          <w:noProof/>
          <w:color w:val="000000"/>
          <w:sz w:val="24"/>
          <w:szCs w:val="24"/>
        </w:rPr>
        <w:t>—</w:t>
      </w:r>
      <w:r>
        <w:rPr>
          <w:rFonts w:ascii="Century Schoolbook" w:eastAsia="Times New Roman" w:hAnsi="Century Schoolbook" w:cs="Courier New"/>
          <w:b/>
          <w:bCs/>
          <w:noProof/>
          <w:color w:val="000000"/>
          <w:sz w:val="24"/>
          <w:szCs w:val="24"/>
        </w:rPr>
        <w:t xml:space="preserve">ADMINISTRATIVE </w:t>
      </w:r>
      <w:r w:rsidR="00540B6C">
        <w:rPr>
          <w:rFonts w:ascii="Century Schoolbook" w:eastAsia="Times New Roman" w:hAnsi="Century Schoolbook" w:cs="Courier New"/>
          <w:b/>
          <w:bCs/>
          <w:noProof/>
          <w:color w:val="000000"/>
          <w:sz w:val="24"/>
          <w:szCs w:val="24"/>
        </w:rPr>
        <w:t xml:space="preserve">AND INFORMATION </w:t>
      </w:r>
      <w:r>
        <w:rPr>
          <w:rFonts w:ascii="Century Schoolbook" w:eastAsia="Times New Roman" w:hAnsi="Century Schoolbook" w:cs="Courier New"/>
          <w:b/>
          <w:bCs/>
          <w:noProof/>
          <w:color w:val="000000"/>
          <w:sz w:val="24"/>
          <w:szCs w:val="24"/>
        </w:rPr>
        <w:t>MATTERS</w:t>
      </w:r>
    </w:p>
    <w:p w14:paraId="7E63E1AB" w14:textId="77777777" w:rsidR="00540B6C" w:rsidRDefault="00540B6C" w:rsidP="00540B6C">
      <w:pPr>
        <w:tabs>
          <w:tab w:val="left" w:pos="360"/>
          <w:tab w:val="left" w:pos="806"/>
          <w:tab w:val="left" w:pos="1210"/>
          <w:tab w:val="left" w:pos="1656"/>
          <w:tab w:val="left" w:pos="2131"/>
          <w:tab w:val="left" w:pos="2520"/>
        </w:tabs>
        <w:spacing w:after="0" w:line="240" w:lineRule="exact"/>
        <w:jc w:val="center"/>
        <w:outlineLvl w:val="1"/>
        <w:rPr>
          <w:rFonts w:ascii="Century Schoolbook" w:eastAsia="Times New Roman" w:hAnsi="Century Schoolbook" w:cs="Courier New"/>
          <w:b/>
          <w:bCs/>
          <w:noProof/>
          <w:color w:val="000000"/>
          <w:sz w:val="24"/>
          <w:szCs w:val="24"/>
        </w:rPr>
      </w:pPr>
    </w:p>
    <w:p w14:paraId="5B938AA1" w14:textId="77777777" w:rsidR="00A21790" w:rsidRDefault="00A21790" w:rsidP="00540B6C">
      <w:pPr>
        <w:tabs>
          <w:tab w:val="left" w:pos="360"/>
          <w:tab w:val="left" w:pos="806"/>
          <w:tab w:val="left" w:pos="1210"/>
          <w:tab w:val="left" w:pos="1656"/>
          <w:tab w:val="left" w:pos="2131"/>
          <w:tab w:val="left" w:pos="2520"/>
        </w:tabs>
        <w:spacing w:after="0" w:line="240" w:lineRule="exact"/>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 * * * *</w:t>
      </w:r>
    </w:p>
    <w:p w14:paraId="463A1AE7" w14:textId="77777777" w:rsidR="00A21790" w:rsidRDefault="00A21790" w:rsidP="00540B6C">
      <w:pPr>
        <w:tabs>
          <w:tab w:val="left" w:pos="360"/>
          <w:tab w:val="left" w:pos="806"/>
          <w:tab w:val="left" w:pos="1210"/>
          <w:tab w:val="left" w:pos="1656"/>
          <w:tab w:val="left" w:pos="2131"/>
          <w:tab w:val="left" w:pos="2520"/>
        </w:tabs>
        <w:spacing w:after="0" w:line="240" w:lineRule="exact"/>
        <w:outlineLvl w:val="1"/>
        <w:rPr>
          <w:rFonts w:ascii="Century Schoolbook" w:eastAsia="Times New Roman" w:hAnsi="Century Schoolbook" w:cs="Courier New"/>
          <w:b/>
          <w:bCs/>
          <w:noProof/>
          <w:color w:val="000000"/>
          <w:sz w:val="24"/>
          <w:szCs w:val="24"/>
        </w:rPr>
      </w:pPr>
    </w:p>
    <w:p w14:paraId="3E26F6A5" w14:textId="77777777" w:rsidR="00A21790" w:rsidRDefault="00A21790" w:rsidP="00BB4D7B">
      <w:pPr>
        <w:tabs>
          <w:tab w:val="left" w:pos="360"/>
          <w:tab w:val="left" w:pos="806"/>
          <w:tab w:val="left" w:pos="1210"/>
          <w:tab w:val="left" w:pos="1656"/>
          <w:tab w:val="left" w:pos="2131"/>
          <w:tab w:val="left" w:pos="2520"/>
        </w:tabs>
        <w:spacing w:after="0" w:line="240" w:lineRule="exact"/>
        <w:jc w:val="center"/>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SUBPART 204.8</w:t>
      </w:r>
      <w:r w:rsidRPr="006E6C79">
        <w:rPr>
          <w:rFonts w:ascii="Century Schoolbook" w:eastAsia="Times New Roman" w:hAnsi="Century Schoolbook" w:cs="Courier New"/>
          <w:b/>
          <w:bCs/>
          <w:noProof/>
          <w:color w:val="000000"/>
          <w:sz w:val="24"/>
          <w:szCs w:val="24"/>
        </w:rPr>
        <w:t>—CONTRACT FILES</w:t>
      </w:r>
    </w:p>
    <w:p w14:paraId="77D0F2E7" w14:textId="77777777" w:rsidR="00A21790" w:rsidRDefault="00A21790" w:rsidP="00540B6C">
      <w:pPr>
        <w:tabs>
          <w:tab w:val="left" w:pos="360"/>
          <w:tab w:val="left" w:pos="806"/>
          <w:tab w:val="left" w:pos="1210"/>
          <w:tab w:val="left" w:pos="1656"/>
          <w:tab w:val="left" w:pos="2131"/>
          <w:tab w:val="left" w:pos="2520"/>
        </w:tabs>
        <w:spacing w:after="0" w:line="240" w:lineRule="exact"/>
        <w:outlineLvl w:val="1"/>
        <w:rPr>
          <w:rFonts w:ascii="Century Schoolbook" w:eastAsia="Times New Roman" w:hAnsi="Century Schoolbook" w:cs="Courier New"/>
          <w:b/>
          <w:bCs/>
          <w:noProof/>
          <w:color w:val="000000"/>
          <w:sz w:val="24"/>
          <w:szCs w:val="24"/>
        </w:rPr>
      </w:pPr>
    </w:p>
    <w:p w14:paraId="26037564" w14:textId="77777777" w:rsidR="00A21790" w:rsidRDefault="00A21790" w:rsidP="00540B6C">
      <w:pPr>
        <w:tabs>
          <w:tab w:val="left" w:pos="360"/>
          <w:tab w:val="left" w:pos="806"/>
          <w:tab w:val="left" w:pos="1210"/>
          <w:tab w:val="left" w:pos="1656"/>
          <w:tab w:val="left" w:pos="2131"/>
          <w:tab w:val="left" w:pos="2520"/>
        </w:tabs>
        <w:spacing w:after="0" w:line="240" w:lineRule="exact"/>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 * * * *</w:t>
      </w:r>
    </w:p>
    <w:p w14:paraId="6DBB3F56" w14:textId="77777777" w:rsidR="00A21790" w:rsidRDefault="00A21790" w:rsidP="00540B6C">
      <w:pPr>
        <w:tabs>
          <w:tab w:val="left" w:pos="360"/>
          <w:tab w:val="left" w:pos="806"/>
          <w:tab w:val="left" w:pos="1210"/>
          <w:tab w:val="left" w:pos="1656"/>
          <w:tab w:val="left" w:pos="2131"/>
          <w:tab w:val="left" w:pos="2520"/>
        </w:tabs>
        <w:spacing w:after="0" w:line="240" w:lineRule="exact"/>
        <w:outlineLvl w:val="1"/>
        <w:rPr>
          <w:rFonts w:ascii="Century Schoolbook" w:eastAsia="Times New Roman" w:hAnsi="Century Schoolbook" w:cs="Courier New"/>
          <w:b/>
          <w:bCs/>
          <w:noProof/>
          <w:color w:val="000000"/>
          <w:sz w:val="24"/>
          <w:szCs w:val="24"/>
        </w:rPr>
      </w:pPr>
    </w:p>
    <w:p w14:paraId="4379C76B" w14:textId="77777777" w:rsidR="00A21790" w:rsidRDefault="00A21790" w:rsidP="00540B6C">
      <w:pPr>
        <w:tabs>
          <w:tab w:val="left" w:pos="360"/>
          <w:tab w:val="left" w:pos="806"/>
          <w:tab w:val="left" w:pos="1210"/>
          <w:tab w:val="left" w:pos="1656"/>
          <w:tab w:val="left" w:pos="2131"/>
          <w:tab w:val="left" w:pos="2520"/>
        </w:tabs>
        <w:spacing w:after="0" w:line="240" w:lineRule="exact"/>
        <w:outlineLvl w:val="1"/>
        <w:rPr>
          <w:rFonts w:ascii="Century Schoolbook" w:eastAsia="Times New Roman" w:hAnsi="Century Schoolbook" w:cs="Courier New"/>
          <w:b/>
          <w:bCs/>
          <w:noProof/>
          <w:color w:val="000000"/>
          <w:sz w:val="24"/>
          <w:szCs w:val="24"/>
        </w:rPr>
      </w:pPr>
      <w:r>
        <w:rPr>
          <w:rFonts w:ascii="Century Schoolbook" w:eastAsia="Times New Roman" w:hAnsi="Century Schoolbook" w:cs="Courier New"/>
          <w:b/>
          <w:bCs/>
          <w:noProof/>
          <w:color w:val="000000"/>
          <w:sz w:val="24"/>
          <w:szCs w:val="24"/>
        </w:rPr>
        <w:t>204.804  Closeout of contract files.</w:t>
      </w:r>
    </w:p>
    <w:p w14:paraId="31E43368" w14:textId="77777777" w:rsidR="00A21790" w:rsidRDefault="00A21790" w:rsidP="00540B6C">
      <w:pPr>
        <w:pStyle w:val="DFARS"/>
        <w:tabs>
          <w:tab w:val="clear" w:pos="810"/>
          <w:tab w:val="left" w:pos="806"/>
        </w:tabs>
        <w:rPr>
          <w:b/>
          <w:szCs w:val="24"/>
        </w:rPr>
      </w:pPr>
    </w:p>
    <w:p w14:paraId="1A94E6F6" w14:textId="12E047C8" w:rsidR="00A21790" w:rsidRDefault="00A21790" w:rsidP="00540B6C">
      <w:pPr>
        <w:pStyle w:val="DFARS"/>
        <w:tabs>
          <w:tab w:val="clear" w:pos="810"/>
          <w:tab w:val="left" w:pos="806"/>
        </w:tabs>
        <w:rPr>
          <w:b/>
          <w:szCs w:val="24"/>
        </w:rPr>
      </w:pPr>
      <w:r>
        <w:rPr>
          <w:b/>
          <w:szCs w:val="24"/>
        </w:rPr>
        <w:t>* * * * *</w:t>
      </w:r>
    </w:p>
    <w:p w14:paraId="412E7303" w14:textId="77777777" w:rsidR="00A21790" w:rsidRDefault="00A21790" w:rsidP="00540B6C">
      <w:pPr>
        <w:pStyle w:val="DFARS"/>
        <w:tabs>
          <w:tab w:val="clear" w:pos="810"/>
          <w:tab w:val="left" w:pos="806"/>
        </w:tabs>
        <w:rPr>
          <w:b/>
          <w:szCs w:val="24"/>
        </w:rPr>
      </w:pPr>
    </w:p>
    <w:p w14:paraId="2C281FB1" w14:textId="4BAF6511" w:rsidR="00A21790" w:rsidRPr="00A50786" w:rsidRDefault="00A21790" w:rsidP="00540B6C">
      <w:pPr>
        <w:pStyle w:val="DFARS"/>
        <w:tabs>
          <w:tab w:val="clear" w:pos="810"/>
          <w:tab w:val="left" w:pos="806"/>
        </w:tabs>
      </w:pPr>
      <w:r>
        <w:rPr>
          <w:b/>
        </w:rPr>
        <w:tab/>
      </w:r>
      <w:r w:rsidRPr="00A50786">
        <w:t>(3)(</w:t>
      </w:r>
      <w:proofErr w:type="spellStart"/>
      <w:r w:rsidRPr="00A50786">
        <w:t>i</w:t>
      </w:r>
      <w:proofErr w:type="spellEnd"/>
      <w:r w:rsidRPr="00A50786">
        <w:t>)  In accordance with section 836 of the National Defense Authorization Act for Fiscal Year 2017 (Pub. L. 114-328)</w:t>
      </w:r>
      <w:r w:rsidR="00FF4127" w:rsidRPr="00FF4127">
        <w:rPr>
          <w:b/>
        </w:rPr>
        <w:t>[,]</w:t>
      </w:r>
      <w:r w:rsidRPr="00A50786">
        <w:t xml:space="preserve"> </w:t>
      </w:r>
      <w:r w:rsidRPr="00FF4127">
        <w:rPr>
          <w:strike/>
        </w:rPr>
        <w:t xml:space="preserve">and </w:t>
      </w:r>
      <w:r w:rsidRPr="00A50786">
        <w:t xml:space="preserve">section 824 of the National Defense Authorization Act for Fiscal Year 2018 (Pub. L. 115-91), </w:t>
      </w:r>
      <w:r w:rsidR="00FF4127" w:rsidRPr="00FF4127">
        <w:rPr>
          <w:b/>
        </w:rPr>
        <w:t>[and section 820 of the National Defense Authorization Act for Fiscal Year 2021 (Pub. L. 116-283),]</w:t>
      </w:r>
      <w:r w:rsidR="00540B6C">
        <w:rPr>
          <w:b/>
        </w:rPr>
        <w:t xml:space="preserve"> </w:t>
      </w:r>
      <w:r w:rsidRPr="00A50786">
        <w:t>contracting officers may close out contracts or groups of contracts through issuance of one or more modifications to such contracts without completing a reconciliation audit or other corrective action in accordance with FAR 4.804-5(a)(3) through (15), as appropriate, if each contract—</w:t>
      </w:r>
    </w:p>
    <w:p w14:paraId="1A548ACA" w14:textId="77777777" w:rsidR="00A21790" w:rsidRPr="00A50786" w:rsidRDefault="00A21790" w:rsidP="00540B6C">
      <w:pPr>
        <w:pStyle w:val="DFARS"/>
        <w:tabs>
          <w:tab w:val="clear" w:pos="810"/>
          <w:tab w:val="left" w:pos="806"/>
        </w:tabs>
      </w:pPr>
    </w:p>
    <w:p w14:paraId="385D37C8" w14:textId="7C0013D9" w:rsidR="00A21790" w:rsidRPr="00540B6C" w:rsidRDefault="00A21790" w:rsidP="00540B6C">
      <w:pPr>
        <w:pStyle w:val="DFARS"/>
        <w:tabs>
          <w:tab w:val="clear" w:pos="810"/>
          <w:tab w:val="left" w:pos="806"/>
        </w:tabs>
        <w:rPr>
          <w:strike/>
        </w:rPr>
      </w:pPr>
      <w:r w:rsidRPr="00A50786">
        <w:tab/>
      </w:r>
      <w:r w:rsidRPr="00A50786">
        <w:tab/>
      </w:r>
      <w:r w:rsidRPr="00A50786">
        <w:tab/>
        <w:t>(</w:t>
      </w:r>
      <w:r w:rsidRPr="00A50786">
        <w:rPr>
          <w:rFonts w:eastAsia="Calibri" w:cs="Courier New"/>
          <w:szCs w:val="24"/>
        </w:rPr>
        <w:t>A</w:t>
      </w:r>
      <w:r w:rsidRPr="00540B6C">
        <w:t>)</w:t>
      </w:r>
      <w:r w:rsidRPr="0041402A">
        <w:rPr>
          <w:strike/>
        </w:rPr>
        <w:t xml:space="preserve">  </w:t>
      </w:r>
      <w:r w:rsidRPr="00540B6C">
        <w:rPr>
          <w:strike/>
        </w:rPr>
        <w:t xml:space="preserve">Was entered into on a date that is at least 17 fiscal years before the current fiscal year; </w:t>
      </w:r>
    </w:p>
    <w:p w14:paraId="7B7E80CD" w14:textId="775AC309" w:rsidR="00C86192" w:rsidRPr="00C86192" w:rsidRDefault="00C86192" w:rsidP="00540B6C">
      <w:pPr>
        <w:pStyle w:val="DFARS"/>
        <w:tabs>
          <w:tab w:val="clear" w:pos="810"/>
          <w:tab w:val="left" w:pos="806"/>
        </w:tabs>
      </w:pPr>
    </w:p>
    <w:p w14:paraId="42306CE2" w14:textId="4E9EA14C" w:rsidR="00C86192" w:rsidRDefault="00FF4127" w:rsidP="00C86192">
      <w:pPr>
        <w:pStyle w:val="DFARS"/>
        <w:tabs>
          <w:tab w:val="clear" w:pos="810"/>
          <w:tab w:val="left" w:pos="806"/>
        </w:tabs>
        <w:rPr>
          <w:b/>
        </w:rPr>
      </w:pPr>
      <w:r w:rsidRPr="00401FA0">
        <w:rPr>
          <w:b/>
        </w:rPr>
        <w:t>[</w:t>
      </w:r>
      <w:r w:rsidR="00C86192">
        <w:tab/>
      </w:r>
      <w:r w:rsidR="00C86192">
        <w:tab/>
      </w:r>
      <w:r w:rsidR="00C86192">
        <w:tab/>
      </w:r>
      <w:r w:rsidR="00C86192">
        <w:tab/>
      </w:r>
      <w:r w:rsidR="00C86192" w:rsidRPr="000842F7">
        <w:rPr>
          <w:b/>
        </w:rPr>
        <w:t>(</w:t>
      </w:r>
      <w:r w:rsidR="00C86192" w:rsidRPr="000842F7">
        <w:rPr>
          <w:b/>
          <w:i/>
        </w:rPr>
        <w:t>1</w:t>
      </w:r>
      <w:proofErr w:type="gramStart"/>
      <w:r w:rsidR="00C86192" w:rsidRPr="000842F7">
        <w:rPr>
          <w:b/>
        </w:rPr>
        <w:t>)</w:t>
      </w:r>
      <w:r w:rsidR="00C86192">
        <w:rPr>
          <w:b/>
        </w:rPr>
        <w:t xml:space="preserve">  For</w:t>
      </w:r>
      <w:proofErr w:type="gramEnd"/>
      <w:r w:rsidR="00C86192">
        <w:rPr>
          <w:b/>
        </w:rPr>
        <w:t xml:space="preserve"> military construction</w:t>
      </w:r>
      <w:r w:rsidR="00C2414E">
        <w:rPr>
          <w:b/>
        </w:rPr>
        <w:t xml:space="preserve"> (</w:t>
      </w:r>
      <w:r w:rsidR="00874C66">
        <w:rPr>
          <w:b/>
        </w:rPr>
        <w:t xml:space="preserve">as defined </w:t>
      </w:r>
      <w:r w:rsidR="00C2414E">
        <w:rPr>
          <w:b/>
        </w:rPr>
        <w:t>at 10 U.S.C. 2801)</w:t>
      </w:r>
      <w:r w:rsidR="00C86192">
        <w:rPr>
          <w:b/>
        </w:rPr>
        <w:t xml:space="preserve"> or shipbuilding</w:t>
      </w:r>
      <w:r w:rsidR="005D30EF">
        <w:rPr>
          <w:b/>
        </w:rPr>
        <w:t>,</w:t>
      </w:r>
      <w:r w:rsidR="00C86192">
        <w:rPr>
          <w:b/>
        </w:rPr>
        <w:t xml:space="preserve"> was awarded at least 10 fiscal years before the current fiscal year; or</w:t>
      </w:r>
    </w:p>
    <w:p w14:paraId="56CDFDD4" w14:textId="77777777" w:rsidR="00C86192" w:rsidRDefault="00C86192" w:rsidP="00C86192">
      <w:pPr>
        <w:pStyle w:val="DFARS"/>
        <w:tabs>
          <w:tab w:val="clear" w:pos="810"/>
          <w:tab w:val="left" w:pos="806"/>
        </w:tabs>
        <w:rPr>
          <w:b/>
        </w:rPr>
      </w:pPr>
    </w:p>
    <w:p w14:paraId="378FA527" w14:textId="1B6C8E12" w:rsidR="00C86192" w:rsidRDefault="00C86192" w:rsidP="00C86192">
      <w:pPr>
        <w:pStyle w:val="DFARS"/>
        <w:tabs>
          <w:tab w:val="clear" w:pos="810"/>
          <w:tab w:val="left" w:pos="806"/>
        </w:tabs>
        <w:rPr>
          <w:b/>
        </w:rPr>
      </w:pPr>
      <w:r>
        <w:rPr>
          <w:b/>
        </w:rPr>
        <w:tab/>
      </w:r>
      <w:r>
        <w:rPr>
          <w:b/>
        </w:rPr>
        <w:tab/>
      </w:r>
      <w:r>
        <w:rPr>
          <w:b/>
        </w:rPr>
        <w:tab/>
      </w:r>
      <w:r>
        <w:rPr>
          <w:b/>
        </w:rPr>
        <w:tab/>
        <w:t>(</w:t>
      </w:r>
      <w:r w:rsidRPr="000842F7">
        <w:rPr>
          <w:b/>
          <w:i/>
        </w:rPr>
        <w:t>2</w:t>
      </w:r>
      <w:r>
        <w:rPr>
          <w:b/>
        </w:rPr>
        <w:t xml:space="preserve">)  </w:t>
      </w:r>
      <w:r w:rsidR="00594701">
        <w:rPr>
          <w:b/>
        </w:rPr>
        <w:t>For all other contracts, w</w:t>
      </w:r>
      <w:r>
        <w:rPr>
          <w:b/>
        </w:rPr>
        <w:t>as awarded at least 7 fiscal years before the current fiscal year</w:t>
      </w:r>
      <w:r w:rsidR="00594701">
        <w:rPr>
          <w:b/>
        </w:rPr>
        <w:t>;]</w:t>
      </w:r>
    </w:p>
    <w:p w14:paraId="2E930AB4" w14:textId="77777777" w:rsidR="005D30EF" w:rsidRPr="000842F7" w:rsidRDefault="005D30EF" w:rsidP="00C86192">
      <w:pPr>
        <w:pStyle w:val="DFARS"/>
        <w:tabs>
          <w:tab w:val="clear" w:pos="810"/>
          <w:tab w:val="left" w:pos="806"/>
        </w:tabs>
        <w:rPr>
          <w:b/>
        </w:rPr>
      </w:pPr>
    </w:p>
    <w:p w14:paraId="7012B967" w14:textId="339D03A8" w:rsidR="00A21790" w:rsidRPr="00A50786" w:rsidRDefault="00A21790" w:rsidP="00540B6C">
      <w:pPr>
        <w:pStyle w:val="DFARS"/>
        <w:tabs>
          <w:tab w:val="clear" w:pos="810"/>
          <w:tab w:val="left" w:pos="806"/>
        </w:tabs>
      </w:pPr>
      <w:r w:rsidRPr="00A50786">
        <w:tab/>
      </w:r>
      <w:r w:rsidRPr="00A50786">
        <w:tab/>
      </w:r>
      <w:r w:rsidRPr="00A50786">
        <w:tab/>
      </w:r>
      <w:proofErr w:type="gramStart"/>
      <w:r w:rsidRPr="00A50786">
        <w:t>(</w:t>
      </w:r>
      <w:r w:rsidRPr="00A50786">
        <w:rPr>
          <w:rFonts w:eastAsia="Calibri" w:cs="Courier New"/>
          <w:szCs w:val="24"/>
        </w:rPr>
        <w:t>B</w:t>
      </w:r>
      <w:r w:rsidRPr="00A50786">
        <w:t xml:space="preserve">)  </w:t>
      </w:r>
      <w:r w:rsidR="00525FA1" w:rsidRPr="00525FA1">
        <w:rPr>
          <w:b/>
        </w:rPr>
        <w:t>[</w:t>
      </w:r>
      <w:proofErr w:type="gramEnd"/>
      <w:r w:rsidR="00525FA1" w:rsidRPr="00525FA1">
        <w:rPr>
          <w:b/>
        </w:rPr>
        <w:t>T</w:t>
      </w:r>
      <w:r w:rsidR="00525FA1">
        <w:rPr>
          <w:b/>
        </w:rPr>
        <w:t>he p</w:t>
      </w:r>
      <w:r w:rsidR="00525FA1" w:rsidRPr="00D71963">
        <w:rPr>
          <w:b/>
        </w:rPr>
        <w:t xml:space="preserve">erformance or delivery was completed </w:t>
      </w:r>
      <w:r w:rsidR="00BC0AB3">
        <w:rPr>
          <w:b/>
        </w:rPr>
        <w:t xml:space="preserve">at least </w:t>
      </w:r>
      <w:r w:rsidR="00B60260">
        <w:rPr>
          <w:b/>
        </w:rPr>
        <w:t xml:space="preserve">4 </w:t>
      </w:r>
      <w:r w:rsidR="00525FA1" w:rsidRPr="00D71963">
        <w:rPr>
          <w:b/>
        </w:rPr>
        <w:t>years prior to the current fiscal year</w:t>
      </w:r>
      <w:r w:rsidR="00525FA1">
        <w:rPr>
          <w:b/>
        </w:rPr>
        <w:t>]</w:t>
      </w:r>
      <w:r w:rsidRPr="00525FA1">
        <w:rPr>
          <w:strike/>
        </w:rPr>
        <w:t>Has no further supplies or services due under the terms of the contract</w:t>
      </w:r>
      <w:r w:rsidRPr="00525FA1">
        <w:t>; and</w:t>
      </w:r>
    </w:p>
    <w:p w14:paraId="195F903E" w14:textId="77777777" w:rsidR="00A21790" w:rsidRPr="00A50786" w:rsidRDefault="00A21790" w:rsidP="00540B6C">
      <w:pPr>
        <w:pStyle w:val="DFARS"/>
        <w:tabs>
          <w:tab w:val="clear" w:pos="810"/>
          <w:tab w:val="left" w:pos="806"/>
        </w:tabs>
      </w:pPr>
    </w:p>
    <w:p w14:paraId="022D5CB0" w14:textId="77777777" w:rsidR="00A21790" w:rsidRPr="00A50786" w:rsidRDefault="00A21790" w:rsidP="00540B6C">
      <w:pPr>
        <w:pStyle w:val="DFARS"/>
        <w:tabs>
          <w:tab w:val="clear" w:pos="810"/>
          <w:tab w:val="left" w:pos="806"/>
        </w:tabs>
      </w:pPr>
      <w:r w:rsidRPr="00A50786">
        <w:tab/>
      </w:r>
      <w:r w:rsidRPr="00A50786">
        <w:tab/>
      </w:r>
      <w:r w:rsidRPr="00A50786">
        <w:tab/>
        <w:t>(</w:t>
      </w:r>
      <w:r w:rsidRPr="00A50786">
        <w:rPr>
          <w:rFonts w:eastAsia="Calibri" w:cs="Courier New"/>
          <w:szCs w:val="24"/>
        </w:rPr>
        <w:t>C</w:t>
      </w:r>
      <w:r w:rsidRPr="00A50786">
        <w:t>)  Has been determined by a contracting official, at least one level above the contracting officer, to be not otherwise reconcilable, because—</w:t>
      </w:r>
    </w:p>
    <w:p w14:paraId="21498E53" w14:textId="77777777" w:rsidR="00A21790" w:rsidRPr="00A50786" w:rsidRDefault="00A21790" w:rsidP="00540B6C">
      <w:pPr>
        <w:pStyle w:val="DFARS"/>
        <w:tabs>
          <w:tab w:val="clear" w:pos="810"/>
          <w:tab w:val="left" w:pos="806"/>
        </w:tabs>
      </w:pPr>
    </w:p>
    <w:p w14:paraId="1DE5DD73" w14:textId="77777777" w:rsidR="00A21790" w:rsidRPr="00A50786" w:rsidRDefault="00A21790" w:rsidP="00540B6C">
      <w:pPr>
        <w:pStyle w:val="DFARS"/>
        <w:tabs>
          <w:tab w:val="clear" w:pos="810"/>
          <w:tab w:val="left" w:pos="806"/>
        </w:tabs>
      </w:pPr>
      <w:r w:rsidRPr="00A50786">
        <w:tab/>
      </w:r>
      <w:r w:rsidRPr="00A50786">
        <w:tab/>
      </w:r>
      <w:r w:rsidRPr="00A50786">
        <w:tab/>
      </w:r>
      <w:r w:rsidRPr="00A50786">
        <w:tab/>
        <w:t>(</w:t>
      </w:r>
      <w:r w:rsidRPr="00A50786">
        <w:rPr>
          <w:i/>
        </w:rPr>
        <w:t>1</w:t>
      </w:r>
      <w:r w:rsidRPr="00A50786">
        <w:t>)  The contract or related payment records have been destroyed or lost; or</w:t>
      </w:r>
    </w:p>
    <w:p w14:paraId="166D4059" w14:textId="77777777" w:rsidR="00A21790" w:rsidRPr="00A50786" w:rsidRDefault="00A21790" w:rsidP="00540B6C">
      <w:pPr>
        <w:pStyle w:val="DFARS"/>
        <w:tabs>
          <w:tab w:val="clear" w:pos="810"/>
          <w:tab w:val="left" w:pos="806"/>
        </w:tabs>
      </w:pPr>
    </w:p>
    <w:p w14:paraId="784A5951" w14:textId="735DA1C2" w:rsidR="00A21790" w:rsidRPr="00A50786" w:rsidRDefault="00A21790" w:rsidP="00540B6C">
      <w:pPr>
        <w:pStyle w:val="DFARS"/>
        <w:tabs>
          <w:tab w:val="clear" w:pos="810"/>
          <w:tab w:val="left" w:pos="806"/>
        </w:tabs>
      </w:pPr>
      <w:r w:rsidRPr="00A50786">
        <w:lastRenderedPageBreak/>
        <w:tab/>
      </w:r>
      <w:r w:rsidRPr="00A50786">
        <w:tab/>
      </w:r>
      <w:r w:rsidRPr="00A50786">
        <w:tab/>
      </w:r>
      <w:r w:rsidRPr="00A50786">
        <w:tab/>
        <w:t>(</w:t>
      </w:r>
      <w:r w:rsidRPr="00A50786">
        <w:rPr>
          <w:i/>
        </w:rPr>
        <w:t>2</w:t>
      </w:r>
      <w:r w:rsidRPr="00A50786">
        <w:t>)  Although contract or related payment records are available, the time or effort required to establish the exact amount owed to the U.S. Government or amount owed to the contractor is disproportionate to the amount at issue.</w:t>
      </w:r>
    </w:p>
    <w:p w14:paraId="57516119" w14:textId="77777777" w:rsidR="00A21790" w:rsidRPr="00A50786" w:rsidRDefault="00A21790" w:rsidP="00540B6C">
      <w:pPr>
        <w:pStyle w:val="DFARS"/>
        <w:tabs>
          <w:tab w:val="clear" w:pos="810"/>
          <w:tab w:val="left" w:pos="806"/>
        </w:tabs>
      </w:pPr>
    </w:p>
    <w:p w14:paraId="6806F2D7" w14:textId="0845C4B1" w:rsidR="00A21790" w:rsidRPr="00A50786" w:rsidRDefault="00A21790" w:rsidP="00540B6C">
      <w:pPr>
        <w:pStyle w:val="DFARS"/>
        <w:tabs>
          <w:tab w:val="clear" w:pos="810"/>
          <w:tab w:val="left" w:pos="806"/>
        </w:tabs>
      </w:pPr>
      <w:r w:rsidRPr="00A50786">
        <w:tab/>
      </w:r>
      <w:r w:rsidRPr="00A50786">
        <w:tab/>
        <w:t>(ii)  Any contract or group of contracts meeting the requirements of paragraph (3)(</w:t>
      </w:r>
      <w:proofErr w:type="spellStart"/>
      <w:r w:rsidRPr="00A50786">
        <w:t>i</w:t>
      </w:r>
      <w:proofErr w:type="spellEnd"/>
      <w:r w:rsidRPr="00A50786">
        <w:t>)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w:t>
      </w:r>
      <w:r w:rsidR="00A53A5D">
        <w:t>e with a negotiated settlement.</w:t>
      </w:r>
    </w:p>
    <w:p w14:paraId="6D9F1E7C" w14:textId="77777777" w:rsidR="00A21790" w:rsidRPr="00A50786" w:rsidRDefault="00A21790" w:rsidP="00540B6C">
      <w:pPr>
        <w:pStyle w:val="DFARS"/>
        <w:tabs>
          <w:tab w:val="clear" w:pos="810"/>
          <w:tab w:val="left" w:pos="806"/>
        </w:tabs>
      </w:pPr>
    </w:p>
    <w:p w14:paraId="0C6168F8" w14:textId="77777777" w:rsidR="00A21790" w:rsidRPr="00A50786" w:rsidRDefault="00A21790" w:rsidP="00540B6C">
      <w:pPr>
        <w:pStyle w:val="DFARS"/>
        <w:tabs>
          <w:tab w:val="clear" w:pos="810"/>
          <w:tab w:val="left" w:pos="806"/>
        </w:tabs>
      </w:pPr>
      <w:r w:rsidRPr="00A50786">
        <w:tab/>
      </w:r>
      <w:r w:rsidRPr="00A50786">
        <w:tab/>
      </w:r>
      <w:r w:rsidRPr="00A50786">
        <w:tab/>
        <w:t>(A)  For a contract or groups of contracts, the contracting officer shall prepare a negotiation settlement memorandum that describes how the requirements of paragraph (3)(</w:t>
      </w:r>
      <w:proofErr w:type="spellStart"/>
      <w:r w:rsidRPr="00A50786">
        <w:t>i</w:t>
      </w:r>
      <w:proofErr w:type="spellEnd"/>
      <w:r w:rsidRPr="00A50786">
        <w:t>) of this section have been met.</w:t>
      </w:r>
    </w:p>
    <w:p w14:paraId="1004B78E" w14:textId="77777777" w:rsidR="00A21790" w:rsidRPr="00A50786" w:rsidRDefault="00A21790" w:rsidP="00540B6C">
      <w:pPr>
        <w:pStyle w:val="DFARS"/>
        <w:tabs>
          <w:tab w:val="clear" w:pos="810"/>
          <w:tab w:val="left" w:pos="806"/>
        </w:tabs>
      </w:pPr>
    </w:p>
    <w:p w14:paraId="200284AD" w14:textId="77777777" w:rsidR="00A21790" w:rsidRPr="00A50786" w:rsidRDefault="00A21790" w:rsidP="00540B6C">
      <w:pPr>
        <w:pStyle w:val="DFARS"/>
        <w:tabs>
          <w:tab w:val="clear" w:pos="810"/>
          <w:tab w:val="left" w:pos="806"/>
        </w:tabs>
      </w:pPr>
      <w:r w:rsidRPr="00A50786">
        <w:tab/>
      </w:r>
      <w:r w:rsidRPr="00A50786">
        <w:tab/>
      </w:r>
      <w:r w:rsidRPr="00A50786">
        <w:tab/>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14:paraId="1BA89C45" w14:textId="77777777" w:rsidR="00A21790" w:rsidRPr="00A50786" w:rsidRDefault="00A21790" w:rsidP="00540B6C">
      <w:pPr>
        <w:pStyle w:val="DFARS"/>
        <w:tabs>
          <w:tab w:val="clear" w:pos="810"/>
          <w:tab w:val="left" w:pos="806"/>
        </w:tabs>
      </w:pPr>
    </w:p>
    <w:p w14:paraId="2E7FB81E" w14:textId="26A9A750" w:rsidR="00A21790" w:rsidRPr="00A50786" w:rsidRDefault="00A21790" w:rsidP="00540B6C">
      <w:pPr>
        <w:pStyle w:val="DFARS"/>
        <w:tabs>
          <w:tab w:val="clear" w:pos="810"/>
          <w:tab w:val="left" w:pos="806"/>
        </w:tabs>
      </w:pPr>
      <w:r w:rsidRPr="00A50786">
        <w:tab/>
      </w:r>
      <w:r w:rsidRPr="00A50786">
        <w:tab/>
        <w:t>(</w:t>
      </w:r>
      <w:r w:rsidRPr="00C2414E">
        <w:t>iii</w:t>
      </w:r>
      <w:r w:rsidRPr="00A50786">
        <w:t>)  For contract closeout actions under paragraph (3) of this section, remaining contract balances—</w:t>
      </w:r>
    </w:p>
    <w:p w14:paraId="74C72173" w14:textId="77777777" w:rsidR="00A21790" w:rsidRPr="00A50786" w:rsidRDefault="00A21790" w:rsidP="00540B6C">
      <w:pPr>
        <w:pStyle w:val="DFARS"/>
        <w:tabs>
          <w:tab w:val="clear" w:pos="810"/>
          <w:tab w:val="left" w:pos="806"/>
        </w:tabs>
      </w:pPr>
    </w:p>
    <w:p w14:paraId="165B2EB8" w14:textId="77777777" w:rsidR="00A21790" w:rsidRPr="00A50786" w:rsidRDefault="00A21790" w:rsidP="00540B6C">
      <w:pPr>
        <w:pStyle w:val="DFARS"/>
        <w:tabs>
          <w:tab w:val="clear" w:pos="810"/>
          <w:tab w:val="left" w:pos="806"/>
        </w:tabs>
      </w:pPr>
      <w:r w:rsidRPr="00A50786">
        <w:tab/>
      </w:r>
      <w:r w:rsidRPr="00A50786">
        <w:tab/>
      </w:r>
      <w:r w:rsidRPr="00A50786">
        <w:tab/>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14:paraId="431BF8B9" w14:textId="77777777" w:rsidR="00A21790" w:rsidRPr="00A50786" w:rsidRDefault="00A21790" w:rsidP="00540B6C">
      <w:pPr>
        <w:pStyle w:val="DFARS"/>
        <w:tabs>
          <w:tab w:val="clear" w:pos="810"/>
          <w:tab w:val="left" w:pos="806"/>
        </w:tabs>
      </w:pPr>
    </w:p>
    <w:p w14:paraId="2321ADAC" w14:textId="77777777" w:rsidR="00A21790" w:rsidRPr="00A50786" w:rsidRDefault="00A21790" w:rsidP="00540B6C">
      <w:pPr>
        <w:pStyle w:val="DFARS"/>
        <w:tabs>
          <w:tab w:val="clear" w:pos="810"/>
          <w:tab w:val="left" w:pos="806"/>
        </w:tabs>
      </w:pPr>
      <w:r w:rsidRPr="00A50786">
        <w:tab/>
      </w:r>
      <w:r w:rsidRPr="00A50786">
        <w:tab/>
      </w:r>
      <w:r w:rsidRPr="00A50786">
        <w:tab/>
        <w:t>(B)  May be offset with balances on other contracts, regardless of the year or type of appropriations obligated to fund each contract and regardless of whether such appropriations have closed.</w:t>
      </w:r>
    </w:p>
    <w:p w14:paraId="5E105881" w14:textId="77777777" w:rsidR="00A21790" w:rsidRPr="00A50786" w:rsidRDefault="00A21790" w:rsidP="00540B6C">
      <w:pPr>
        <w:pStyle w:val="DFARS"/>
        <w:tabs>
          <w:tab w:val="clear" w:pos="810"/>
          <w:tab w:val="left" w:pos="806"/>
        </w:tabs>
      </w:pPr>
    </w:p>
    <w:p w14:paraId="34202F78" w14:textId="29A212A2" w:rsidR="00A21790" w:rsidRPr="00A50786" w:rsidRDefault="00A21790" w:rsidP="00540B6C">
      <w:pPr>
        <w:pStyle w:val="DFARS"/>
        <w:tabs>
          <w:tab w:val="clear" w:pos="810"/>
          <w:tab w:val="left" w:pos="806"/>
        </w:tabs>
        <w:rPr>
          <w:rFonts w:cs="Courier New"/>
          <w:szCs w:val="24"/>
        </w:rPr>
      </w:pPr>
      <w:r w:rsidRPr="00A50786">
        <w:tab/>
      </w:r>
      <w:r w:rsidRPr="00A50786">
        <w:tab/>
        <w:t>(</w:t>
      </w:r>
      <w:r w:rsidRPr="00C2414E">
        <w:t>i</w:t>
      </w:r>
      <w:r w:rsidRPr="00A50786">
        <w:t>v)  USD(A&amp;S) is authorized to waive any provision of acquisition law or regulation in order to carry out the closeout procedures authorized in paragraph (3)(</w:t>
      </w:r>
      <w:proofErr w:type="spellStart"/>
      <w:r w:rsidRPr="00A50786">
        <w:t>i</w:t>
      </w:r>
      <w:proofErr w:type="spellEnd"/>
      <w:r w:rsidRPr="00A50786">
        <w:t xml:space="preserve">) of this section (see procedures at </w:t>
      </w:r>
      <w:hyperlink r:id="rId11" w:anchor="204.804" w:history="1">
        <w:r w:rsidRPr="006D0DD9">
          <w:rPr>
            <w:rStyle w:val="Hyperlink"/>
          </w:rPr>
          <w:t>PGI 204.804</w:t>
        </w:r>
      </w:hyperlink>
      <w:r w:rsidRPr="00A50786">
        <w:t>(3)(iv)).</w:t>
      </w:r>
    </w:p>
    <w:p w14:paraId="1AFB5FB8" w14:textId="77777777" w:rsidR="00EC17F4" w:rsidRDefault="00EC17F4" w:rsidP="00540B6C">
      <w:pPr>
        <w:pStyle w:val="DFARS"/>
        <w:tabs>
          <w:tab w:val="clear" w:pos="810"/>
          <w:tab w:val="left" w:pos="806"/>
        </w:tabs>
      </w:pPr>
    </w:p>
    <w:p w14:paraId="51C9E9EE" w14:textId="3E8F4FF6" w:rsidR="00A21790" w:rsidRDefault="00EC17F4" w:rsidP="00540B6C">
      <w:pPr>
        <w:pStyle w:val="DFARS"/>
        <w:tabs>
          <w:tab w:val="clear" w:pos="810"/>
          <w:tab w:val="left" w:pos="806"/>
        </w:tabs>
      </w:pPr>
      <w:r>
        <w:t>* * * * *</w:t>
      </w:r>
    </w:p>
    <w:sectPr w:rsidR="00A21790" w:rsidSect="007B733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7997A" w14:textId="77777777" w:rsidR="009A4600" w:rsidRDefault="009A4600" w:rsidP="00562B18">
      <w:pPr>
        <w:spacing w:after="0" w:line="240" w:lineRule="auto"/>
      </w:pPr>
      <w:r>
        <w:separator/>
      </w:r>
    </w:p>
  </w:endnote>
  <w:endnote w:type="continuationSeparator" w:id="0">
    <w:p w14:paraId="771BB6F0" w14:textId="77777777" w:rsidR="009A4600" w:rsidRDefault="009A4600" w:rsidP="00562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4986A" w14:textId="61E5A71F" w:rsidR="00AD3D25" w:rsidRPr="00F75D5C" w:rsidRDefault="00F75D5C" w:rsidP="00AD3D25">
    <w:pPr>
      <w:pStyle w:val="Footer"/>
      <w:jc w:val="center"/>
      <w:rPr>
        <w:rFonts w:ascii="Century Schoolbook" w:hAnsi="Century Schoolbook"/>
      </w:rPr>
    </w:pPr>
    <w:sdt>
      <w:sdtPr>
        <w:rPr>
          <w:rFonts w:ascii="Century Schoolbook" w:hAnsi="Century Schoolbook"/>
          <w:sz w:val="16"/>
          <w:szCs w:val="16"/>
        </w:rPr>
        <w:id w:val="1875731787"/>
        <w:docPartObj>
          <w:docPartGallery w:val="Page Numbers (Bottom of Page)"/>
          <w:docPartUnique/>
        </w:docPartObj>
      </w:sdtPr>
      <w:sdtEndPr>
        <w:rPr>
          <w:sz w:val="22"/>
          <w:szCs w:val="22"/>
        </w:rPr>
      </w:sdtEndPr>
      <w:sdtContent>
        <w:sdt>
          <w:sdtPr>
            <w:rPr>
              <w:rFonts w:ascii="Century Schoolbook" w:hAnsi="Century Schoolbook"/>
              <w:sz w:val="16"/>
              <w:szCs w:val="16"/>
            </w:rPr>
            <w:id w:val="-1669238322"/>
            <w:docPartObj>
              <w:docPartGallery w:val="Page Numbers (Top of Page)"/>
              <w:docPartUnique/>
            </w:docPartObj>
          </w:sdtPr>
          <w:sdtEndPr>
            <w:rPr>
              <w:sz w:val="22"/>
              <w:szCs w:val="22"/>
            </w:rPr>
          </w:sdtEndPr>
          <w:sdtContent>
            <w:r w:rsidR="00AD3D25" w:rsidRPr="00F75D5C">
              <w:rPr>
                <w:rFonts w:ascii="Century Schoolbook" w:hAnsi="Century Schoolbook"/>
              </w:rPr>
              <w:t xml:space="preserve">Page </w:t>
            </w:r>
            <w:r w:rsidR="00AD3D25" w:rsidRPr="00F75D5C">
              <w:rPr>
                <w:rFonts w:ascii="Century Schoolbook" w:hAnsi="Century Schoolbook"/>
                <w:b/>
              </w:rPr>
              <w:fldChar w:fldCharType="begin"/>
            </w:r>
            <w:r w:rsidR="00AD3D25" w:rsidRPr="00F75D5C">
              <w:rPr>
                <w:rFonts w:ascii="Century Schoolbook" w:hAnsi="Century Schoolbook"/>
                <w:b/>
              </w:rPr>
              <w:instrText xml:space="preserve"> PAGE  \* Arabic  \* MERGEFORMAT </w:instrText>
            </w:r>
            <w:r w:rsidR="00AD3D25" w:rsidRPr="00F75D5C">
              <w:rPr>
                <w:rFonts w:ascii="Century Schoolbook" w:hAnsi="Century Schoolbook"/>
                <w:b/>
              </w:rPr>
              <w:fldChar w:fldCharType="separate"/>
            </w:r>
            <w:r>
              <w:rPr>
                <w:rFonts w:ascii="Century Schoolbook" w:hAnsi="Century Schoolbook"/>
                <w:b/>
                <w:noProof/>
              </w:rPr>
              <w:t>1</w:t>
            </w:r>
            <w:r w:rsidR="00AD3D25" w:rsidRPr="00F75D5C">
              <w:rPr>
                <w:rFonts w:ascii="Century Schoolbook" w:hAnsi="Century Schoolbook"/>
                <w:b/>
              </w:rPr>
              <w:fldChar w:fldCharType="end"/>
            </w:r>
            <w:r w:rsidR="00AD3D25" w:rsidRPr="00F75D5C">
              <w:rPr>
                <w:rFonts w:ascii="Century Schoolbook" w:hAnsi="Century Schoolbook"/>
              </w:rPr>
              <w:t xml:space="preserve"> of </w:t>
            </w:r>
            <w:r w:rsidR="00AD3D25" w:rsidRPr="00F75D5C">
              <w:rPr>
                <w:rFonts w:ascii="Century Schoolbook" w:hAnsi="Century Schoolbook"/>
                <w:b/>
              </w:rPr>
              <w:fldChar w:fldCharType="begin"/>
            </w:r>
            <w:r w:rsidR="00AD3D25" w:rsidRPr="00F75D5C">
              <w:rPr>
                <w:rFonts w:ascii="Century Schoolbook" w:hAnsi="Century Schoolbook"/>
                <w:b/>
              </w:rPr>
              <w:instrText xml:space="preserve"> NUMPAGES  \* Arabic  \* MERGEFORMAT </w:instrText>
            </w:r>
            <w:r w:rsidR="00AD3D25" w:rsidRPr="00F75D5C">
              <w:rPr>
                <w:rFonts w:ascii="Century Schoolbook" w:hAnsi="Century Schoolbook"/>
                <w:b/>
              </w:rPr>
              <w:fldChar w:fldCharType="separate"/>
            </w:r>
            <w:r>
              <w:rPr>
                <w:rFonts w:ascii="Century Schoolbook" w:hAnsi="Century Schoolbook"/>
                <w:b/>
                <w:noProof/>
              </w:rPr>
              <w:t>2</w:t>
            </w:r>
            <w:r w:rsidR="00AD3D25" w:rsidRPr="00F75D5C">
              <w:rPr>
                <w:rFonts w:ascii="Century Schoolbook" w:hAnsi="Century Schoolbook"/>
                <w:b/>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A9A99" w14:textId="77777777" w:rsidR="009A4600" w:rsidRDefault="009A4600" w:rsidP="00562B18">
      <w:pPr>
        <w:spacing w:after="0" w:line="240" w:lineRule="auto"/>
      </w:pPr>
      <w:r>
        <w:separator/>
      </w:r>
    </w:p>
  </w:footnote>
  <w:footnote w:type="continuationSeparator" w:id="0">
    <w:p w14:paraId="4846E0E6" w14:textId="77777777" w:rsidR="009A4600" w:rsidRDefault="009A4600" w:rsidP="00562B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D3E11"/>
    <w:multiLevelType w:val="hybridMultilevel"/>
    <w:tmpl w:val="31667E70"/>
    <w:lvl w:ilvl="0" w:tplc="5E100DE4">
      <w:start w:val="223"/>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D4B1CAC"/>
    <w:multiLevelType w:val="hybridMultilevel"/>
    <w:tmpl w:val="4AF408BE"/>
    <w:lvl w:ilvl="0" w:tplc="92CE82F4">
      <w:start w:val="25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E1910"/>
    <w:multiLevelType w:val="hybridMultilevel"/>
    <w:tmpl w:val="DA9C5696"/>
    <w:lvl w:ilvl="0" w:tplc="6E287018">
      <w:start w:val="25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36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B18"/>
    <w:rsid w:val="00003AA7"/>
    <w:rsid w:val="0002463F"/>
    <w:rsid w:val="00035BBD"/>
    <w:rsid w:val="00060461"/>
    <w:rsid w:val="00080525"/>
    <w:rsid w:val="00083DE8"/>
    <w:rsid w:val="000A35C4"/>
    <w:rsid w:val="000C50CE"/>
    <w:rsid w:val="0014191B"/>
    <w:rsid w:val="0017354F"/>
    <w:rsid w:val="00236458"/>
    <w:rsid w:val="00253BF5"/>
    <w:rsid w:val="00270030"/>
    <w:rsid w:val="002B3EDB"/>
    <w:rsid w:val="002C3083"/>
    <w:rsid w:val="003049CA"/>
    <w:rsid w:val="00322702"/>
    <w:rsid w:val="00370B56"/>
    <w:rsid w:val="00380B44"/>
    <w:rsid w:val="00386FC0"/>
    <w:rsid w:val="003D2793"/>
    <w:rsid w:val="003E2348"/>
    <w:rsid w:val="003F0910"/>
    <w:rsid w:val="00401FA0"/>
    <w:rsid w:val="0041402A"/>
    <w:rsid w:val="00416B60"/>
    <w:rsid w:val="0045299D"/>
    <w:rsid w:val="004F41B3"/>
    <w:rsid w:val="004F6BA6"/>
    <w:rsid w:val="00525FA1"/>
    <w:rsid w:val="00540B6C"/>
    <w:rsid w:val="00541CF1"/>
    <w:rsid w:val="00562B18"/>
    <w:rsid w:val="00575952"/>
    <w:rsid w:val="0058790D"/>
    <w:rsid w:val="00594701"/>
    <w:rsid w:val="005B59BF"/>
    <w:rsid w:val="005B71EA"/>
    <w:rsid w:val="005D30EF"/>
    <w:rsid w:val="005D4921"/>
    <w:rsid w:val="005F0689"/>
    <w:rsid w:val="0061177E"/>
    <w:rsid w:val="0064148F"/>
    <w:rsid w:val="00650505"/>
    <w:rsid w:val="006670DA"/>
    <w:rsid w:val="0067530C"/>
    <w:rsid w:val="00697B54"/>
    <w:rsid w:val="006B38B5"/>
    <w:rsid w:val="006D5D54"/>
    <w:rsid w:val="006F7673"/>
    <w:rsid w:val="00711B0B"/>
    <w:rsid w:val="0071260E"/>
    <w:rsid w:val="00713A7A"/>
    <w:rsid w:val="0073189C"/>
    <w:rsid w:val="007866E7"/>
    <w:rsid w:val="0079239B"/>
    <w:rsid w:val="007A5A3E"/>
    <w:rsid w:val="007B7339"/>
    <w:rsid w:val="007C7F2A"/>
    <w:rsid w:val="007E7C4A"/>
    <w:rsid w:val="007F0F04"/>
    <w:rsid w:val="007F0FF0"/>
    <w:rsid w:val="007F2932"/>
    <w:rsid w:val="0080137F"/>
    <w:rsid w:val="0082263E"/>
    <w:rsid w:val="00822B82"/>
    <w:rsid w:val="00830C4D"/>
    <w:rsid w:val="00874C66"/>
    <w:rsid w:val="00893DDE"/>
    <w:rsid w:val="008A2364"/>
    <w:rsid w:val="008B29CD"/>
    <w:rsid w:val="008C2999"/>
    <w:rsid w:val="008D1FDE"/>
    <w:rsid w:val="008D3513"/>
    <w:rsid w:val="009136B8"/>
    <w:rsid w:val="00952435"/>
    <w:rsid w:val="009A0B72"/>
    <w:rsid w:val="009A4600"/>
    <w:rsid w:val="009B77DD"/>
    <w:rsid w:val="009B7B36"/>
    <w:rsid w:val="009C6B0E"/>
    <w:rsid w:val="009D0E35"/>
    <w:rsid w:val="009F06C3"/>
    <w:rsid w:val="00A01CF5"/>
    <w:rsid w:val="00A07F7C"/>
    <w:rsid w:val="00A10763"/>
    <w:rsid w:val="00A21790"/>
    <w:rsid w:val="00A341EC"/>
    <w:rsid w:val="00A3452A"/>
    <w:rsid w:val="00A3555B"/>
    <w:rsid w:val="00A423B8"/>
    <w:rsid w:val="00A53A5D"/>
    <w:rsid w:val="00A7269E"/>
    <w:rsid w:val="00A80D87"/>
    <w:rsid w:val="00A96F39"/>
    <w:rsid w:val="00AB24D0"/>
    <w:rsid w:val="00AD3D25"/>
    <w:rsid w:val="00B60260"/>
    <w:rsid w:val="00B72A3E"/>
    <w:rsid w:val="00BA4FEE"/>
    <w:rsid w:val="00BB4D7B"/>
    <w:rsid w:val="00BC0AB3"/>
    <w:rsid w:val="00BF2C55"/>
    <w:rsid w:val="00C00119"/>
    <w:rsid w:val="00C003AE"/>
    <w:rsid w:val="00C06336"/>
    <w:rsid w:val="00C13929"/>
    <w:rsid w:val="00C2414E"/>
    <w:rsid w:val="00C44395"/>
    <w:rsid w:val="00C465B6"/>
    <w:rsid w:val="00C6335C"/>
    <w:rsid w:val="00C6492E"/>
    <w:rsid w:val="00C81690"/>
    <w:rsid w:val="00C86192"/>
    <w:rsid w:val="00C87408"/>
    <w:rsid w:val="00C95646"/>
    <w:rsid w:val="00CF2009"/>
    <w:rsid w:val="00CF5723"/>
    <w:rsid w:val="00CF6E5D"/>
    <w:rsid w:val="00D004B0"/>
    <w:rsid w:val="00D2711A"/>
    <w:rsid w:val="00D40C38"/>
    <w:rsid w:val="00D701C6"/>
    <w:rsid w:val="00D75F7C"/>
    <w:rsid w:val="00D8012C"/>
    <w:rsid w:val="00D80719"/>
    <w:rsid w:val="00D970A0"/>
    <w:rsid w:val="00DA3B25"/>
    <w:rsid w:val="00DC2C64"/>
    <w:rsid w:val="00DC32BB"/>
    <w:rsid w:val="00DD34D1"/>
    <w:rsid w:val="00DD641C"/>
    <w:rsid w:val="00E12D93"/>
    <w:rsid w:val="00E16BF7"/>
    <w:rsid w:val="00E26811"/>
    <w:rsid w:val="00E35471"/>
    <w:rsid w:val="00E3781D"/>
    <w:rsid w:val="00E469B7"/>
    <w:rsid w:val="00E5113D"/>
    <w:rsid w:val="00EA30E7"/>
    <w:rsid w:val="00EA7583"/>
    <w:rsid w:val="00EC17F4"/>
    <w:rsid w:val="00EC2313"/>
    <w:rsid w:val="00EF094B"/>
    <w:rsid w:val="00F129A6"/>
    <w:rsid w:val="00F3520C"/>
    <w:rsid w:val="00F35D27"/>
    <w:rsid w:val="00F54C21"/>
    <w:rsid w:val="00F61948"/>
    <w:rsid w:val="00F62E86"/>
    <w:rsid w:val="00F72BB3"/>
    <w:rsid w:val="00F75D5C"/>
    <w:rsid w:val="00FD31E3"/>
    <w:rsid w:val="00FD4463"/>
    <w:rsid w:val="00FF4127"/>
    <w:rsid w:val="00FF4813"/>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0ECE9"/>
  <w15:chartTrackingRefBased/>
  <w15:docId w15:val="{467C6BDC-457F-4D00-9675-C093C13A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B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B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B18"/>
  </w:style>
  <w:style w:type="paragraph" w:styleId="Footer">
    <w:name w:val="footer"/>
    <w:basedOn w:val="Normal"/>
    <w:link w:val="FooterChar"/>
    <w:uiPriority w:val="99"/>
    <w:unhideWhenUsed/>
    <w:rsid w:val="00562B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B18"/>
  </w:style>
  <w:style w:type="character" w:styleId="LineNumber">
    <w:name w:val="line number"/>
    <w:basedOn w:val="DefaultParagraphFont"/>
    <w:uiPriority w:val="99"/>
    <w:semiHidden/>
    <w:unhideWhenUsed/>
    <w:rsid w:val="00562B18"/>
  </w:style>
  <w:style w:type="paragraph" w:customStyle="1" w:styleId="DFARS">
    <w:name w:val="DFARS"/>
    <w:basedOn w:val="Normal"/>
    <w:link w:val="DFARSChar"/>
    <w:rsid w:val="00562B18"/>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562B18"/>
    <w:rPr>
      <w:rFonts w:ascii="Century Schoolbook" w:eastAsia="Times New Roman" w:hAnsi="Century Schoolbook" w:cs="Times New Roman"/>
      <w:spacing w:val="-5"/>
      <w:kern w:val="20"/>
      <w:sz w:val="24"/>
      <w:szCs w:val="20"/>
    </w:rPr>
  </w:style>
  <w:style w:type="character" w:styleId="Hyperlink">
    <w:name w:val="Hyperlink"/>
    <w:rsid w:val="00562B18"/>
    <w:rPr>
      <w:color w:val="0000FF"/>
      <w:u w:val="single"/>
    </w:rPr>
  </w:style>
  <w:style w:type="paragraph" w:styleId="PlainText">
    <w:name w:val="Plain Text"/>
    <w:basedOn w:val="Normal"/>
    <w:link w:val="PlainTextChar"/>
    <w:uiPriority w:val="99"/>
    <w:semiHidden/>
    <w:unhideWhenUsed/>
    <w:rsid w:val="00A96F39"/>
    <w:pPr>
      <w:spacing w:after="0" w:line="240" w:lineRule="auto"/>
    </w:pPr>
    <w:rPr>
      <w:rFonts w:ascii="Calibri" w:eastAsiaTheme="minorEastAsia" w:hAnsi="Calibri" w:cs="Times New Roman"/>
      <w:szCs w:val="21"/>
    </w:rPr>
  </w:style>
  <w:style w:type="character" w:customStyle="1" w:styleId="PlainTextChar">
    <w:name w:val="Plain Text Char"/>
    <w:basedOn w:val="DefaultParagraphFont"/>
    <w:link w:val="PlainText"/>
    <w:uiPriority w:val="99"/>
    <w:semiHidden/>
    <w:rsid w:val="00A96F39"/>
    <w:rPr>
      <w:rFonts w:ascii="Calibri" w:eastAsiaTheme="minorEastAsia" w:hAnsi="Calibri" w:cs="Times New Roman"/>
      <w:szCs w:val="21"/>
    </w:rPr>
  </w:style>
  <w:style w:type="paragraph" w:styleId="NormalWeb">
    <w:name w:val="Normal (Web)"/>
    <w:basedOn w:val="Normal"/>
    <w:uiPriority w:val="99"/>
    <w:semiHidden/>
    <w:unhideWhenUsed/>
    <w:rsid w:val="009B77D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C32BB"/>
    <w:rPr>
      <w:sz w:val="16"/>
      <w:szCs w:val="16"/>
    </w:rPr>
  </w:style>
  <w:style w:type="paragraph" w:styleId="CommentText">
    <w:name w:val="annotation text"/>
    <w:basedOn w:val="Normal"/>
    <w:link w:val="CommentTextChar"/>
    <w:uiPriority w:val="99"/>
    <w:semiHidden/>
    <w:unhideWhenUsed/>
    <w:rsid w:val="00DC32BB"/>
    <w:pPr>
      <w:spacing w:line="240" w:lineRule="auto"/>
    </w:pPr>
    <w:rPr>
      <w:sz w:val="20"/>
      <w:szCs w:val="20"/>
    </w:rPr>
  </w:style>
  <w:style w:type="character" w:customStyle="1" w:styleId="CommentTextChar">
    <w:name w:val="Comment Text Char"/>
    <w:basedOn w:val="DefaultParagraphFont"/>
    <w:link w:val="CommentText"/>
    <w:uiPriority w:val="99"/>
    <w:semiHidden/>
    <w:rsid w:val="00DC32BB"/>
    <w:rPr>
      <w:sz w:val="20"/>
      <w:szCs w:val="20"/>
    </w:rPr>
  </w:style>
  <w:style w:type="paragraph" w:styleId="CommentSubject">
    <w:name w:val="annotation subject"/>
    <w:basedOn w:val="CommentText"/>
    <w:next w:val="CommentText"/>
    <w:link w:val="CommentSubjectChar"/>
    <w:uiPriority w:val="99"/>
    <w:semiHidden/>
    <w:unhideWhenUsed/>
    <w:rsid w:val="00DC32BB"/>
    <w:rPr>
      <w:b/>
      <w:bCs/>
    </w:rPr>
  </w:style>
  <w:style w:type="character" w:customStyle="1" w:styleId="CommentSubjectChar">
    <w:name w:val="Comment Subject Char"/>
    <w:basedOn w:val="CommentTextChar"/>
    <w:link w:val="CommentSubject"/>
    <w:uiPriority w:val="99"/>
    <w:semiHidden/>
    <w:rsid w:val="00DC32BB"/>
    <w:rPr>
      <w:b/>
      <w:bCs/>
      <w:sz w:val="20"/>
      <w:szCs w:val="20"/>
    </w:rPr>
  </w:style>
  <w:style w:type="paragraph" w:styleId="BalloonText">
    <w:name w:val="Balloon Text"/>
    <w:basedOn w:val="Normal"/>
    <w:link w:val="BalloonTextChar"/>
    <w:uiPriority w:val="99"/>
    <w:semiHidden/>
    <w:unhideWhenUsed/>
    <w:rsid w:val="00DC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2BB"/>
    <w:rPr>
      <w:rFonts w:ascii="Segoe UI" w:hAnsi="Segoe UI" w:cs="Segoe UI"/>
      <w:sz w:val="18"/>
      <w:szCs w:val="18"/>
    </w:rPr>
  </w:style>
  <w:style w:type="character" w:styleId="FootnoteReference">
    <w:name w:val="footnote reference"/>
    <w:uiPriority w:val="99"/>
    <w:unhideWhenUsed/>
    <w:rsid w:val="00A217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080">
      <w:bodyDiv w:val="1"/>
      <w:marLeft w:val="0"/>
      <w:marRight w:val="0"/>
      <w:marTop w:val="0"/>
      <w:marBottom w:val="0"/>
      <w:divBdr>
        <w:top w:val="none" w:sz="0" w:space="0" w:color="auto"/>
        <w:left w:val="none" w:sz="0" w:space="0" w:color="auto"/>
        <w:bottom w:val="none" w:sz="0" w:space="0" w:color="auto"/>
        <w:right w:val="none" w:sz="0" w:space="0" w:color="auto"/>
      </w:divBdr>
    </w:div>
    <w:div w:id="1816726704">
      <w:bodyDiv w:val="1"/>
      <w:marLeft w:val="0"/>
      <w:marRight w:val="0"/>
      <w:marTop w:val="0"/>
      <w:marBottom w:val="0"/>
      <w:divBdr>
        <w:top w:val="none" w:sz="0" w:space="0" w:color="auto"/>
        <w:left w:val="none" w:sz="0" w:space="0" w:color="auto"/>
        <w:bottom w:val="none" w:sz="0" w:space="0" w:color="auto"/>
        <w:right w:val="none" w:sz="0" w:space="0" w:color="auto"/>
      </w:divBdr>
    </w:div>
    <w:div w:id="203630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dars/pgi/pgi_htm/PGI204_8.ht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CD67D0942F0646B0737D6FD8CC3E79" ma:contentTypeVersion="0" ma:contentTypeDescription="Create a new document." ma:contentTypeScope="" ma:versionID="708842dc5e4330ffb5a94f65630109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21429-357E-421E-8243-69307EE83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975AE92-33EC-4756-9834-F2328C99AD00}">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15CF4A84-65EA-45D8-A506-B3B001E126A1}">
  <ds:schemaRefs>
    <ds:schemaRef ds:uri="http://schemas.microsoft.com/sharepoint/v3/contenttype/forms"/>
  </ds:schemaRefs>
</ds:datastoreItem>
</file>

<file path=customXml/itemProps4.xml><?xml version="1.0" encoding="utf-8"?>
<ds:datastoreItem xmlns:ds="http://schemas.openxmlformats.org/officeDocument/2006/customXml" ds:itemID="{1C9A92C8-5CBD-41AC-9BB7-611C6B41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Ziegler, Kimberly R CIV OSD OUSD A-S (USA)</dc:creator>
  <cp:keywords/>
  <dc:description/>
  <cp:lastModifiedBy>Johnson, Jennifer D CIV OSD OUSD A-S (USA)</cp:lastModifiedBy>
  <cp:revision>6</cp:revision>
  <dcterms:created xsi:type="dcterms:W3CDTF">2022-02-11T16:00:00Z</dcterms:created>
  <dcterms:modified xsi:type="dcterms:W3CDTF">2022-03-09T15:28:00Z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0x010100CACD67D0942F0646B0737D6FD8CC3E79</vt:lpwstr>
  </property>
</Properties>
</file>