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FA308" w14:textId="77777777" w:rsidR="008F017B" w:rsidRPr="00D5289A" w:rsidRDefault="008F017B" w:rsidP="008F017B">
      <w:pPr>
        <w:jc w:val="center"/>
        <w:outlineLvl w:val="3"/>
        <w:rPr>
          <w:rFonts w:ascii="Arial" w:hAnsi="Arial" w:cs="Arial"/>
          <w:bCs/>
          <w:szCs w:val="24"/>
        </w:rPr>
      </w:pPr>
      <w:bookmarkStart w:id="0" w:name="BM204_72"/>
      <w:bookmarkStart w:id="1" w:name="_GoBack"/>
      <w:bookmarkEnd w:id="1"/>
      <w:r w:rsidRPr="00D5289A">
        <w:rPr>
          <w:rFonts w:ascii="Arial" w:hAnsi="Arial" w:cs="Arial"/>
          <w:bCs/>
          <w:szCs w:val="24"/>
        </w:rPr>
        <w:t>DFARS Case 2021-D013</w:t>
      </w:r>
    </w:p>
    <w:p w14:paraId="587E14B0" w14:textId="77777777" w:rsidR="00D5289A" w:rsidRPr="00D5289A" w:rsidRDefault="00D5289A" w:rsidP="00D5289A">
      <w:pPr>
        <w:tabs>
          <w:tab w:val="clear" w:pos="1000"/>
        </w:tabs>
        <w:ind w:left="0" w:firstLine="0"/>
        <w:jc w:val="center"/>
        <w:outlineLvl w:val="3"/>
        <w:rPr>
          <w:rFonts w:ascii="Arial" w:hAnsi="Arial" w:cs="Arial"/>
          <w:szCs w:val="24"/>
          <w:shd w:val="clear" w:color="auto" w:fill="FFFFFF"/>
        </w:rPr>
      </w:pPr>
      <w:r w:rsidRPr="00D5289A">
        <w:rPr>
          <w:rFonts w:ascii="Arial" w:hAnsi="Arial" w:cs="Arial"/>
          <w:szCs w:val="24"/>
          <w:shd w:val="clear" w:color="auto" w:fill="FFFFFF"/>
        </w:rPr>
        <w:t>(S) Evaluation Factor for Employing or Subcontracting with Members of the Selected Reserve</w:t>
      </w:r>
    </w:p>
    <w:p w14:paraId="77EC9946" w14:textId="2EB8D9BA" w:rsidR="008F017B" w:rsidRPr="00D5289A" w:rsidRDefault="006C4099" w:rsidP="008F017B">
      <w:pPr>
        <w:jc w:val="center"/>
        <w:outlineLvl w:val="3"/>
        <w:rPr>
          <w:rFonts w:ascii="Arial" w:hAnsi="Arial" w:cs="Arial"/>
          <w:bCs/>
          <w:szCs w:val="24"/>
        </w:rPr>
      </w:pPr>
      <w:r>
        <w:rPr>
          <w:rFonts w:ascii="Arial" w:hAnsi="Arial" w:cs="Arial"/>
          <w:bCs/>
          <w:szCs w:val="24"/>
        </w:rPr>
        <w:t>PGI</w:t>
      </w:r>
      <w:r w:rsidR="000D1C09">
        <w:rPr>
          <w:rFonts w:ascii="Arial" w:hAnsi="Arial" w:cs="Arial"/>
          <w:bCs/>
          <w:szCs w:val="24"/>
        </w:rPr>
        <w:t xml:space="preserve"> Text</w:t>
      </w:r>
    </w:p>
    <w:p w14:paraId="516E7AEC" w14:textId="77777777" w:rsidR="00D5289A" w:rsidRPr="00D5289A" w:rsidRDefault="00D5289A" w:rsidP="002644D5">
      <w:pPr>
        <w:pStyle w:val="DFARS"/>
        <w:widowControl w:val="0"/>
        <w:spacing w:line="240" w:lineRule="auto"/>
        <w:rPr>
          <w:rFonts w:ascii="Arial" w:hAnsi="Arial" w:cs="Arial"/>
        </w:rPr>
      </w:pPr>
    </w:p>
    <w:p w14:paraId="283CA27A" w14:textId="3F14D3EF" w:rsidR="007F0F80" w:rsidRDefault="002160EA" w:rsidP="002160EA">
      <w:pPr>
        <w:pStyle w:val="DFARS"/>
        <w:widowControl w:val="0"/>
        <w:spacing w:line="240" w:lineRule="auto"/>
        <w:jc w:val="center"/>
        <w:rPr>
          <w:rFonts w:ascii="Arial" w:hAnsi="Arial" w:cs="Arial"/>
          <w:b/>
        </w:rPr>
      </w:pPr>
      <w:r>
        <w:rPr>
          <w:rFonts w:ascii="Arial" w:hAnsi="Arial" w:cs="Arial"/>
          <w:b/>
        </w:rPr>
        <w:t>PGI 201—FEDERAL ACQUISITION REGULATIONS SYSTEM</w:t>
      </w:r>
    </w:p>
    <w:p w14:paraId="21DD3F53" w14:textId="77777777" w:rsidR="002160EA" w:rsidRDefault="002160EA" w:rsidP="002644D5">
      <w:pPr>
        <w:pStyle w:val="DFARS"/>
        <w:widowControl w:val="0"/>
        <w:spacing w:line="240" w:lineRule="auto"/>
        <w:rPr>
          <w:rFonts w:ascii="Arial" w:hAnsi="Arial" w:cs="Arial"/>
          <w:b/>
        </w:rPr>
      </w:pPr>
    </w:p>
    <w:p w14:paraId="47AE09B7" w14:textId="24724E6F" w:rsidR="007F0F80" w:rsidRDefault="007F0F80" w:rsidP="007F0F80">
      <w:pPr>
        <w:pStyle w:val="DFARS"/>
        <w:widowControl w:val="0"/>
        <w:rPr>
          <w:rFonts w:ascii="Arial" w:hAnsi="Arial" w:cs="Arial"/>
          <w:b/>
          <w:bCs/>
        </w:rPr>
      </w:pPr>
      <w:r w:rsidRPr="007F0F80">
        <w:rPr>
          <w:rFonts w:ascii="Arial" w:hAnsi="Arial" w:cs="Arial"/>
          <w:b/>
          <w:bCs/>
        </w:rPr>
        <w:t>PGI 201.1—PURPOSE, AUTHORITY, ISSUANCE</w:t>
      </w:r>
    </w:p>
    <w:p w14:paraId="5037AC77" w14:textId="77777777" w:rsidR="003B01CF" w:rsidRPr="007F0F80" w:rsidRDefault="003B01CF" w:rsidP="007F0F80">
      <w:pPr>
        <w:pStyle w:val="DFARS"/>
        <w:widowControl w:val="0"/>
        <w:rPr>
          <w:rFonts w:ascii="Arial" w:hAnsi="Arial" w:cs="Arial"/>
        </w:rPr>
      </w:pPr>
    </w:p>
    <w:p w14:paraId="7AB783C0" w14:textId="5382B9D8" w:rsidR="007F0F80" w:rsidRPr="007F0F80" w:rsidRDefault="007F0F80" w:rsidP="007F0F80">
      <w:pPr>
        <w:pStyle w:val="DFARS"/>
        <w:widowControl w:val="0"/>
        <w:rPr>
          <w:rFonts w:ascii="Arial" w:hAnsi="Arial" w:cs="Arial"/>
        </w:rPr>
      </w:pPr>
      <w:proofErr w:type="gramStart"/>
      <w:r w:rsidRPr="007F0F80">
        <w:rPr>
          <w:rFonts w:ascii="Arial" w:hAnsi="Arial" w:cs="Arial"/>
          <w:b/>
          <w:bCs/>
        </w:rPr>
        <w:t xml:space="preserve">201.106 </w:t>
      </w:r>
      <w:r w:rsidR="002160EA">
        <w:rPr>
          <w:rFonts w:ascii="Arial" w:hAnsi="Arial" w:cs="Arial"/>
          <w:b/>
          <w:bCs/>
        </w:rPr>
        <w:t xml:space="preserve"> </w:t>
      </w:r>
      <w:r w:rsidRPr="007F0F80">
        <w:rPr>
          <w:rFonts w:ascii="Arial" w:hAnsi="Arial" w:cs="Arial"/>
          <w:b/>
          <w:bCs/>
        </w:rPr>
        <w:t>OMB</w:t>
      </w:r>
      <w:proofErr w:type="gramEnd"/>
      <w:r w:rsidRPr="007F0F80">
        <w:rPr>
          <w:rFonts w:ascii="Arial" w:hAnsi="Arial" w:cs="Arial"/>
          <w:b/>
          <w:bCs/>
        </w:rPr>
        <w:t xml:space="preserve"> approval under the Paperwork Reduction Act.</w:t>
      </w:r>
    </w:p>
    <w:p w14:paraId="6D464785" w14:textId="7E50CB3A" w:rsidR="007F0F80" w:rsidRPr="007F0F80" w:rsidRDefault="007F0F80" w:rsidP="007F0F80">
      <w:pPr>
        <w:pStyle w:val="DFARS"/>
        <w:widowControl w:val="0"/>
        <w:rPr>
          <w:rFonts w:ascii="Arial" w:hAnsi="Arial" w:cs="Arial"/>
        </w:rPr>
      </w:pPr>
      <w:r w:rsidRPr="007F0F80">
        <w:rPr>
          <w:rFonts w:ascii="Arial" w:hAnsi="Arial" w:cs="Arial"/>
        </w:rPr>
        <w:t>The information collection and recordkeeping requirements contained in the Defense Federal Acquisition Regulations Supplement (DFARS) and Procedures, Guidance, and Information (PGI) have been approved by the Office of Management and Budget. The following O</w:t>
      </w:r>
      <w:r w:rsidR="002160EA">
        <w:rPr>
          <w:rFonts w:ascii="Arial" w:hAnsi="Arial" w:cs="Arial"/>
        </w:rPr>
        <w:t>MB control numbers apply:</w:t>
      </w:r>
    </w:p>
    <w:p w14:paraId="48651EF6" w14:textId="0DDFF2A4" w:rsidR="007F0F80" w:rsidRDefault="007F0F80" w:rsidP="002644D5">
      <w:pPr>
        <w:pStyle w:val="DFARS"/>
        <w:widowControl w:val="0"/>
        <w:spacing w:line="240" w:lineRule="auto"/>
        <w:rPr>
          <w:rFonts w:ascii="Arial" w:hAnsi="Arial" w:cs="Arial"/>
          <w:b/>
        </w:rPr>
      </w:pPr>
    </w:p>
    <w:tbl>
      <w:tblPr>
        <w:tblStyle w:val="TableGrid"/>
        <w:tblW w:w="0" w:type="auto"/>
        <w:tblInd w:w="581" w:type="dxa"/>
        <w:tblLook w:val="04A0" w:firstRow="1" w:lastRow="0" w:firstColumn="1" w:lastColumn="0" w:noHBand="0" w:noVBand="1"/>
      </w:tblPr>
      <w:tblGrid>
        <w:gridCol w:w="3780"/>
        <w:gridCol w:w="2970"/>
      </w:tblGrid>
      <w:tr w:rsidR="007F0F80" w14:paraId="39858D7C" w14:textId="77777777" w:rsidTr="007F0F80">
        <w:tc>
          <w:tcPr>
            <w:tcW w:w="3780" w:type="dxa"/>
          </w:tcPr>
          <w:p w14:paraId="004A1A30" w14:textId="4D8536C3" w:rsidR="007F0F80" w:rsidRPr="007F0F80" w:rsidRDefault="007F0F80" w:rsidP="002644D5">
            <w:pPr>
              <w:pStyle w:val="DFARS"/>
              <w:widowControl w:val="0"/>
              <w:spacing w:line="240" w:lineRule="auto"/>
              <w:rPr>
                <w:rFonts w:ascii="Arial" w:hAnsi="Arial" w:cs="Arial"/>
                <w:bCs/>
              </w:rPr>
            </w:pPr>
            <w:r w:rsidRPr="007F0F80">
              <w:rPr>
                <w:rFonts w:ascii="Arial" w:hAnsi="Arial" w:cs="Arial"/>
                <w:bCs/>
              </w:rPr>
              <w:t>DFARS Segment</w:t>
            </w:r>
          </w:p>
        </w:tc>
        <w:tc>
          <w:tcPr>
            <w:tcW w:w="2970" w:type="dxa"/>
          </w:tcPr>
          <w:p w14:paraId="35DB4F7F" w14:textId="517CB0A3" w:rsidR="007F0F80" w:rsidRPr="007F0F80" w:rsidRDefault="007F0F80" w:rsidP="002644D5">
            <w:pPr>
              <w:pStyle w:val="DFARS"/>
              <w:widowControl w:val="0"/>
              <w:spacing w:line="240" w:lineRule="auto"/>
              <w:rPr>
                <w:rFonts w:ascii="Arial" w:hAnsi="Arial" w:cs="Arial"/>
                <w:bCs/>
              </w:rPr>
            </w:pPr>
            <w:r w:rsidRPr="007F0F80">
              <w:rPr>
                <w:rFonts w:ascii="Arial" w:hAnsi="Arial" w:cs="Arial"/>
                <w:bCs/>
              </w:rPr>
              <w:t>OMB Control No.</w:t>
            </w:r>
          </w:p>
        </w:tc>
      </w:tr>
      <w:tr w:rsidR="007F0F80" w14:paraId="3F3A8B37" w14:textId="77777777" w:rsidTr="007F0F80">
        <w:tc>
          <w:tcPr>
            <w:tcW w:w="3780" w:type="dxa"/>
          </w:tcPr>
          <w:p w14:paraId="5391A7CF" w14:textId="24B2C970" w:rsidR="007F0F80" w:rsidRPr="007F0F80" w:rsidRDefault="007F0F80" w:rsidP="002644D5">
            <w:pPr>
              <w:pStyle w:val="DFARS"/>
              <w:widowControl w:val="0"/>
              <w:spacing w:line="240" w:lineRule="auto"/>
              <w:rPr>
                <w:rFonts w:ascii="Arial" w:hAnsi="Arial" w:cs="Arial"/>
                <w:bCs/>
              </w:rPr>
            </w:pPr>
            <w:r w:rsidRPr="007F0F80">
              <w:rPr>
                <w:rFonts w:ascii="Arial" w:hAnsi="Arial" w:cs="Arial"/>
                <w:bCs/>
              </w:rPr>
              <w:t>* * * * *</w:t>
            </w:r>
          </w:p>
        </w:tc>
        <w:tc>
          <w:tcPr>
            <w:tcW w:w="2970" w:type="dxa"/>
          </w:tcPr>
          <w:p w14:paraId="15DFA145" w14:textId="61594742" w:rsidR="007F0F80" w:rsidRPr="007F0F80" w:rsidRDefault="007F0F80" w:rsidP="002644D5">
            <w:pPr>
              <w:pStyle w:val="DFARS"/>
              <w:widowControl w:val="0"/>
              <w:spacing w:line="240" w:lineRule="auto"/>
              <w:rPr>
                <w:rFonts w:ascii="Arial" w:hAnsi="Arial" w:cs="Arial"/>
                <w:bCs/>
              </w:rPr>
            </w:pPr>
            <w:r w:rsidRPr="007F0F80">
              <w:rPr>
                <w:rFonts w:ascii="Arial" w:hAnsi="Arial" w:cs="Arial"/>
                <w:bCs/>
              </w:rPr>
              <w:t>* * * * *</w:t>
            </w:r>
          </w:p>
        </w:tc>
      </w:tr>
      <w:tr w:rsidR="007F0F80" w14:paraId="338B6142" w14:textId="77777777" w:rsidTr="007F0F80">
        <w:tc>
          <w:tcPr>
            <w:tcW w:w="3780" w:type="dxa"/>
          </w:tcPr>
          <w:p w14:paraId="2F371262" w14:textId="6F49627F" w:rsidR="007F0F80" w:rsidRPr="007F0F80" w:rsidRDefault="007F0F80" w:rsidP="002644D5">
            <w:pPr>
              <w:pStyle w:val="DFARS"/>
              <w:widowControl w:val="0"/>
              <w:spacing w:line="240" w:lineRule="auto"/>
              <w:rPr>
                <w:rFonts w:ascii="Arial" w:hAnsi="Arial" w:cs="Arial"/>
                <w:bCs/>
                <w:strike/>
              </w:rPr>
            </w:pPr>
            <w:r w:rsidRPr="007F0F80">
              <w:rPr>
                <w:rFonts w:ascii="Arial" w:hAnsi="Arial" w:cs="Arial"/>
                <w:bCs/>
                <w:strike/>
              </w:rPr>
              <w:t>252.215-7005</w:t>
            </w:r>
          </w:p>
        </w:tc>
        <w:tc>
          <w:tcPr>
            <w:tcW w:w="2970" w:type="dxa"/>
          </w:tcPr>
          <w:p w14:paraId="6EC9172F" w14:textId="4E74CA85" w:rsidR="007F0F80" w:rsidRPr="007F0F80" w:rsidRDefault="007F0F80" w:rsidP="002644D5">
            <w:pPr>
              <w:pStyle w:val="DFARS"/>
              <w:widowControl w:val="0"/>
              <w:spacing w:line="240" w:lineRule="auto"/>
              <w:rPr>
                <w:rFonts w:ascii="Arial" w:hAnsi="Arial" w:cs="Arial"/>
                <w:bCs/>
                <w:strike/>
              </w:rPr>
            </w:pPr>
            <w:r w:rsidRPr="007F0F80">
              <w:rPr>
                <w:rFonts w:ascii="Arial" w:hAnsi="Arial" w:cs="Arial"/>
                <w:bCs/>
                <w:strike/>
              </w:rPr>
              <w:t>0704-0446</w:t>
            </w:r>
          </w:p>
        </w:tc>
      </w:tr>
      <w:tr w:rsidR="007F0F80" w14:paraId="65CF8FF5" w14:textId="77777777" w:rsidTr="007F0F80">
        <w:tc>
          <w:tcPr>
            <w:tcW w:w="3780" w:type="dxa"/>
          </w:tcPr>
          <w:p w14:paraId="1FAB4E02" w14:textId="491A8FD8" w:rsidR="007F0F80" w:rsidRPr="007F0F80" w:rsidRDefault="007F0F80" w:rsidP="002644D5">
            <w:pPr>
              <w:pStyle w:val="DFARS"/>
              <w:widowControl w:val="0"/>
              <w:spacing w:line="240" w:lineRule="auto"/>
              <w:rPr>
                <w:rFonts w:ascii="Arial" w:hAnsi="Arial" w:cs="Arial"/>
                <w:bCs/>
              </w:rPr>
            </w:pPr>
            <w:r w:rsidRPr="007F0F80">
              <w:rPr>
                <w:rFonts w:ascii="Arial" w:hAnsi="Arial" w:cs="Arial"/>
                <w:bCs/>
              </w:rPr>
              <w:t>* * * * *</w:t>
            </w:r>
          </w:p>
        </w:tc>
        <w:tc>
          <w:tcPr>
            <w:tcW w:w="2970" w:type="dxa"/>
          </w:tcPr>
          <w:p w14:paraId="09DC5C5A" w14:textId="6BF213B5" w:rsidR="007F0F80" w:rsidRPr="007F0F80" w:rsidRDefault="007F0F80" w:rsidP="002644D5">
            <w:pPr>
              <w:pStyle w:val="DFARS"/>
              <w:widowControl w:val="0"/>
              <w:spacing w:line="240" w:lineRule="auto"/>
              <w:rPr>
                <w:rFonts w:ascii="Arial" w:hAnsi="Arial" w:cs="Arial"/>
                <w:bCs/>
              </w:rPr>
            </w:pPr>
            <w:r w:rsidRPr="007F0F80">
              <w:rPr>
                <w:rFonts w:ascii="Arial" w:hAnsi="Arial" w:cs="Arial"/>
                <w:bCs/>
              </w:rPr>
              <w:t>* * * * *</w:t>
            </w:r>
          </w:p>
        </w:tc>
      </w:tr>
    </w:tbl>
    <w:p w14:paraId="636C34A6" w14:textId="492CB18D" w:rsidR="007F0F80" w:rsidRDefault="007F0F80" w:rsidP="002644D5">
      <w:pPr>
        <w:pStyle w:val="DFARS"/>
        <w:widowControl w:val="0"/>
        <w:spacing w:line="240" w:lineRule="auto"/>
        <w:rPr>
          <w:rFonts w:ascii="Arial" w:hAnsi="Arial" w:cs="Arial"/>
          <w:b/>
        </w:rPr>
      </w:pPr>
    </w:p>
    <w:p w14:paraId="52A4419E" w14:textId="5431C0C4" w:rsidR="007F0F80" w:rsidRDefault="007F0F80" w:rsidP="002644D5">
      <w:pPr>
        <w:pStyle w:val="DFARS"/>
        <w:widowControl w:val="0"/>
        <w:spacing w:line="240" w:lineRule="auto"/>
        <w:rPr>
          <w:rFonts w:ascii="Arial" w:hAnsi="Arial" w:cs="Arial"/>
          <w:b/>
        </w:rPr>
      </w:pPr>
      <w:r>
        <w:rPr>
          <w:rFonts w:ascii="Arial" w:hAnsi="Arial" w:cs="Arial"/>
          <w:b/>
        </w:rPr>
        <w:t>* * * * *</w:t>
      </w:r>
    </w:p>
    <w:p w14:paraId="6C00DE91" w14:textId="77777777" w:rsidR="00744A72" w:rsidRDefault="00744A72" w:rsidP="002644D5">
      <w:pPr>
        <w:pStyle w:val="DFARS"/>
        <w:widowControl w:val="0"/>
        <w:spacing w:line="240" w:lineRule="auto"/>
        <w:rPr>
          <w:rFonts w:ascii="Arial" w:hAnsi="Arial" w:cs="Arial"/>
          <w:i/>
          <w:szCs w:val="24"/>
        </w:rPr>
      </w:pPr>
    </w:p>
    <w:p w14:paraId="3C5B5C7B" w14:textId="77777777" w:rsidR="009370E2" w:rsidRDefault="009370E2" w:rsidP="009370E2">
      <w:pPr>
        <w:pStyle w:val="DFARS"/>
        <w:widowControl w:val="0"/>
        <w:spacing w:line="240" w:lineRule="auto"/>
        <w:jc w:val="center"/>
        <w:rPr>
          <w:rFonts w:ascii="Arial" w:hAnsi="Arial" w:cs="Arial"/>
          <w:b/>
        </w:rPr>
      </w:pPr>
      <w:r>
        <w:rPr>
          <w:rFonts w:ascii="Arial" w:hAnsi="Arial" w:cs="Arial"/>
          <w:b/>
        </w:rPr>
        <w:t>PGI 215—CONTRACTING BY NEGOTIATION</w:t>
      </w:r>
    </w:p>
    <w:p w14:paraId="17F7B3DA" w14:textId="77777777" w:rsidR="009370E2" w:rsidRDefault="009370E2" w:rsidP="009370E2">
      <w:pPr>
        <w:pStyle w:val="DFARS"/>
        <w:widowControl w:val="0"/>
        <w:spacing w:line="240" w:lineRule="auto"/>
        <w:rPr>
          <w:rFonts w:ascii="Arial" w:hAnsi="Arial" w:cs="Arial"/>
          <w:b/>
        </w:rPr>
      </w:pPr>
    </w:p>
    <w:p w14:paraId="12D6C049" w14:textId="6CA23D13" w:rsidR="00F131FD" w:rsidRDefault="00F131FD" w:rsidP="002644D5">
      <w:pPr>
        <w:pStyle w:val="DFARS"/>
        <w:widowControl w:val="0"/>
        <w:spacing w:line="240" w:lineRule="auto"/>
        <w:rPr>
          <w:rFonts w:ascii="Arial" w:hAnsi="Arial" w:cs="Arial"/>
          <w:b/>
        </w:rPr>
      </w:pPr>
      <w:r w:rsidRPr="00F131FD">
        <w:rPr>
          <w:rFonts w:ascii="Arial" w:hAnsi="Arial" w:cs="Arial"/>
          <w:b/>
        </w:rPr>
        <w:t>PGI 215.3</w:t>
      </w:r>
      <w:r w:rsidR="009370E2">
        <w:rPr>
          <w:rFonts w:ascii="Arial" w:hAnsi="Arial" w:cs="Arial"/>
          <w:b/>
        </w:rPr>
        <w:t>—</w:t>
      </w:r>
      <w:r w:rsidRPr="00F131FD">
        <w:rPr>
          <w:rFonts w:ascii="Arial" w:hAnsi="Arial" w:cs="Arial"/>
          <w:b/>
        </w:rPr>
        <w:t>SOURCE SELECTION</w:t>
      </w:r>
    </w:p>
    <w:p w14:paraId="539B674B" w14:textId="77777777" w:rsidR="00BE3F29" w:rsidRDefault="00BE3F29" w:rsidP="002644D5">
      <w:pPr>
        <w:pStyle w:val="DFARS"/>
        <w:widowControl w:val="0"/>
        <w:spacing w:line="240" w:lineRule="auto"/>
        <w:rPr>
          <w:rFonts w:ascii="Arial" w:hAnsi="Arial" w:cs="Arial"/>
          <w:b/>
        </w:rPr>
      </w:pPr>
    </w:p>
    <w:p w14:paraId="0BD6799F" w14:textId="77777777" w:rsidR="00BD073C" w:rsidRDefault="00BD073C" w:rsidP="002644D5">
      <w:pPr>
        <w:pStyle w:val="DFARS"/>
        <w:widowControl w:val="0"/>
        <w:spacing w:line="240" w:lineRule="auto"/>
        <w:rPr>
          <w:rFonts w:ascii="Arial" w:hAnsi="Arial" w:cs="Arial"/>
          <w:b/>
        </w:rPr>
      </w:pPr>
      <w:r>
        <w:rPr>
          <w:rFonts w:ascii="Arial" w:hAnsi="Arial" w:cs="Arial"/>
          <w:b/>
        </w:rPr>
        <w:t>* * * * *</w:t>
      </w:r>
    </w:p>
    <w:bookmarkEnd w:id="0"/>
    <w:p w14:paraId="3E048647" w14:textId="77777777" w:rsidR="00BD073C" w:rsidRDefault="00BD073C" w:rsidP="002644D5">
      <w:pPr>
        <w:pStyle w:val="DFARS"/>
        <w:spacing w:line="240" w:lineRule="auto"/>
        <w:rPr>
          <w:rFonts w:ascii="Arial" w:hAnsi="Arial" w:cs="Arial"/>
          <w:b/>
        </w:rPr>
      </w:pPr>
    </w:p>
    <w:p w14:paraId="4EA03080" w14:textId="77777777" w:rsidR="000338FB" w:rsidRPr="000338FB" w:rsidRDefault="000338FB" w:rsidP="002644D5">
      <w:pPr>
        <w:pStyle w:val="DFARS"/>
        <w:spacing w:line="240" w:lineRule="auto"/>
        <w:rPr>
          <w:rFonts w:ascii="Arial" w:hAnsi="Arial" w:cs="Arial"/>
          <w:b/>
        </w:rPr>
      </w:pPr>
      <w:r w:rsidRPr="000338FB">
        <w:rPr>
          <w:rFonts w:ascii="Arial" w:hAnsi="Arial" w:cs="Arial"/>
          <w:b/>
        </w:rPr>
        <w:t xml:space="preserve">PGI </w:t>
      </w:r>
      <w:proofErr w:type="gramStart"/>
      <w:r w:rsidRPr="000338FB">
        <w:rPr>
          <w:rFonts w:ascii="Arial" w:hAnsi="Arial" w:cs="Arial"/>
          <w:b/>
        </w:rPr>
        <w:t>215.370  Evaluation</w:t>
      </w:r>
      <w:proofErr w:type="gramEnd"/>
      <w:r w:rsidRPr="000338FB">
        <w:rPr>
          <w:rFonts w:ascii="Arial" w:hAnsi="Arial" w:cs="Arial"/>
          <w:b/>
        </w:rPr>
        <w:t xml:space="preserve"> factor for employing or subcontracting with members of the Selected Reserve.</w:t>
      </w:r>
    </w:p>
    <w:p w14:paraId="72718F1D" w14:textId="77777777" w:rsidR="0066466E" w:rsidRDefault="0066466E" w:rsidP="002644D5">
      <w:pPr>
        <w:pStyle w:val="DFARS"/>
        <w:spacing w:line="240" w:lineRule="auto"/>
        <w:rPr>
          <w:rFonts w:ascii="Arial" w:hAnsi="Arial" w:cs="Arial"/>
          <w:b/>
        </w:rPr>
      </w:pPr>
    </w:p>
    <w:p w14:paraId="664B0318" w14:textId="77777777" w:rsidR="000338FB" w:rsidRPr="000338FB" w:rsidRDefault="000338FB" w:rsidP="002644D5">
      <w:pPr>
        <w:pStyle w:val="DFARS"/>
        <w:spacing w:line="240" w:lineRule="auto"/>
        <w:rPr>
          <w:rFonts w:ascii="Arial" w:hAnsi="Arial" w:cs="Arial"/>
          <w:b/>
        </w:rPr>
      </w:pPr>
      <w:r w:rsidRPr="000338FB">
        <w:rPr>
          <w:rFonts w:ascii="Arial" w:hAnsi="Arial" w:cs="Arial"/>
          <w:b/>
        </w:rPr>
        <w:t>PGI 215.370-</w:t>
      </w:r>
      <w:proofErr w:type="gramStart"/>
      <w:r w:rsidRPr="000338FB">
        <w:rPr>
          <w:rFonts w:ascii="Arial" w:hAnsi="Arial" w:cs="Arial"/>
          <w:b/>
        </w:rPr>
        <w:t>2  Evaluation</w:t>
      </w:r>
      <w:proofErr w:type="gramEnd"/>
      <w:r w:rsidRPr="000338FB">
        <w:rPr>
          <w:rFonts w:ascii="Arial" w:hAnsi="Arial" w:cs="Arial"/>
          <w:b/>
        </w:rPr>
        <w:t xml:space="preserve"> factor.</w:t>
      </w:r>
    </w:p>
    <w:p w14:paraId="66C28AAE" w14:textId="77777777" w:rsidR="000338FB" w:rsidRPr="000338FB" w:rsidRDefault="000338FB" w:rsidP="002644D5">
      <w:pPr>
        <w:pStyle w:val="DFARS"/>
        <w:spacing w:line="240" w:lineRule="auto"/>
        <w:rPr>
          <w:rFonts w:ascii="Arial" w:hAnsi="Arial" w:cs="Arial"/>
          <w:b/>
        </w:rPr>
      </w:pPr>
    </w:p>
    <w:p w14:paraId="504F22AE" w14:textId="77777777" w:rsidR="000338FB" w:rsidRPr="000338FB" w:rsidRDefault="000338FB" w:rsidP="002644D5">
      <w:pPr>
        <w:pStyle w:val="DFARS"/>
        <w:spacing w:line="240" w:lineRule="auto"/>
        <w:rPr>
          <w:rFonts w:ascii="Arial" w:hAnsi="Arial" w:cs="Arial"/>
        </w:rPr>
      </w:pPr>
      <w:r w:rsidRPr="000338FB">
        <w:rPr>
          <w:rFonts w:ascii="Arial" w:hAnsi="Arial" w:cs="Arial"/>
        </w:rPr>
        <w:tab/>
        <w:t xml:space="preserve">(1)  </w:t>
      </w:r>
      <w:r w:rsidR="0066466E" w:rsidRPr="0066466E">
        <w:rPr>
          <w:rFonts w:ascii="Arial" w:hAnsi="Arial" w:cs="Arial"/>
          <w:b/>
        </w:rPr>
        <w:t>* * *</w:t>
      </w:r>
    </w:p>
    <w:p w14:paraId="06F25584" w14:textId="77777777" w:rsidR="000338FB" w:rsidRPr="000338FB" w:rsidRDefault="000338FB" w:rsidP="002644D5">
      <w:pPr>
        <w:pStyle w:val="DFARS"/>
        <w:spacing w:line="240" w:lineRule="auto"/>
        <w:rPr>
          <w:rFonts w:ascii="Arial" w:hAnsi="Arial" w:cs="Arial"/>
        </w:rPr>
      </w:pPr>
    </w:p>
    <w:p w14:paraId="19C75670" w14:textId="77777777" w:rsidR="000338FB" w:rsidRPr="000338FB" w:rsidRDefault="000338FB" w:rsidP="002644D5">
      <w:pPr>
        <w:pStyle w:val="DFARS"/>
        <w:spacing w:line="240" w:lineRule="auto"/>
        <w:rPr>
          <w:rFonts w:ascii="Arial" w:hAnsi="Arial" w:cs="Arial"/>
        </w:rPr>
      </w:pPr>
      <w:r w:rsidRPr="000338FB">
        <w:rPr>
          <w:rFonts w:ascii="Arial" w:hAnsi="Arial" w:cs="Arial"/>
        </w:rPr>
        <w:tab/>
        <w:t xml:space="preserve">(2)  </w:t>
      </w:r>
      <w:r w:rsidR="0066466E" w:rsidRPr="0066466E">
        <w:rPr>
          <w:rFonts w:ascii="Arial" w:hAnsi="Arial" w:cs="Arial"/>
          <w:b/>
        </w:rPr>
        <w:t>* * *</w:t>
      </w:r>
    </w:p>
    <w:p w14:paraId="0F4BC3FB" w14:textId="77777777" w:rsidR="000338FB" w:rsidRPr="000338FB" w:rsidRDefault="000338FB" w:rsidP="002644D5">
      <w:pPr>
        <w:pStyle w:val="DFARS"/>
        <w:spacing w:line="240" w:lineRule="auto"/>
        <w:rPr>
          <w:rFonts w:ascii="Arial" w:hAnsi="Arial" w:cs="Arial"/>
        </w:rPr>
      </w:pPr>
    </w:p>
    <w:p w14:paraId="68AA3DFC" w14:textId="77777777" w:rsidR="000338FB" w:rsidRPr="0066466E" w:rsidRDefault="000338FB" w:rsidP="002644D5">
      <w:pPr>
        <w:pStyle w:val="DFARS"/>
        <w:spacing w:line="240" w:lineRule="auto"/>
        <w:rPr>
          <w:rFonts w:ascii="Arial" w:hAnsi="Arial" w:cs="Arial"/>
          <w:strike/>
        </w:rPr>
      </w:pPr>
      <w:r w:rsidRPr="000338FB">
        <w:rPr>
          <w:rFonts w:ascii="Arial" w:hAnsi="Arial" w:cs="Arial"/>
        </w:rPr>
        <w:tab/>
      </w:r>
      <w:r w:rsidRPr="0066466E">
        <w:rPr>
          <w:rFonts w:ascii="Arial" w:hAnsi="Arial" w:cs="Arial"/>
          <w:strike/>
        </w:rPr>
        <w:t xml:space="preserve">(3)  The solicitation provision at </w:t>
      </w:r>
      <w:hyperlink r:id="rId6" w:anchor="252.215-7005" w:history="1">
        <w:r w:rsidRPr="0066466E">
          <w:rPr>
            <w:rStyle w:val="Hyperlink"/>
            <w:rFonts w:ascii="Arial" w:hAnsi="Arial" w:cs="Arial"/>
            <w:strike/>
          </w:rPr>
          <w:t>252.215-7005</w:t>
        </w:r>
      </w:hyperlink>
      <w:r w:rsidRPr="0066466E">
        <w:rPr>
          <w:rFonts w:ascii="Arial" w:hAnsi="Arial" w:cs="Arial"/>
          <w:strike/>
        </w:rPr>
        <w:t xml:space="preserve"> requires an </w:t>
      </w:r>
      <w:proofErr w:type="spellStart"/>
      <w:r w:rsidRPr="0066466E">
        <w:rPr>
          <w:rFonts w:ascii="Arial" w:hAnsi="Arial" w:cs="Arial"/>
          <w:strike/>
        </w:rPr>
        <w:t>offeror</w:t>
      </w:r>
      <w:proofErr w:type="spellEnd"/>
      <w:r w:rsidRPr="0066466E">
        <w:rPr>
          <w:rFonts w:ascii="Arial" w:hAnsi="Arial" w:cs="Arial"/>
          <w:strike/>
        </w:rPr>
        <w:t xml:space="preserve"> to provide supporting documentation when stating an intent to use members of the Selected Reserve in the performance of the contract.</w:t>
      </w:r>
    </w:p>
    <w:p w14:paraId="6618E986" w14:textId="77777777" w:rsidR="000338FB" w:rsidRDefault="000338FB" w:rsidP="002644D5">
      <w:pPr>
        <w:pStyle w:val="DFARS"/>
        <w:widowControl w:val="0"/>
        <w:tabs>
          <w:tab w:val="clear" w:pos="360"/>
          <w:tab w:val="clear" w:pos="810"/>
          <w:tab w:val="clear" w:pos="1210"/>
          <w:tab w:val="clear" w:pos="1656"/>
          <w:tab w:val="clear" w:pos="2131"/>
          <w:tab w:val="clear" w:pos="2520"/>
        </w:tabs>
        <w:rPr>
          <w:rFonts w:ascii="Arial" w:hAnsi="Arial" w:cs="Arial"/>
        </w:rPr>
      </w:pPr>
    </w:p>
    <w:p w14:paraId="64C3B8FB" w14:textId="77777777" w:rsidR="0066466E" w:rsidRPr="00F131FD" w:rsidRDefault="0066466E" w:rsidP="002644D5">
      <w:pPr>
        <w:pStyle w:val="DFARS"/>
        <w:widowControl w:val="0"/>
        <w:tabs>
          <w:tab w:val="clear" w:pos="360"/>
          <w:tab w:val="clear" w:pos="810"/>
          <w:tab w:val="clear" w:pos="1210"/>
          <w:tab w:val="clear" w:pos="1656"/>
          <w:tab w:val="clear" w:pos="2131"/>
          <w:tab w:val="clear" w:pos="2520"/>
        </w:tabs>
        <w:rPr>
          <w:rFonts w:ascii="Arial" w:hAnsi="Arial" w:cs="Arial"/>
        </w:rPr>
      </w:pPr>
      <w:r>
        <w:rPr>
          <w:rFonts w:ascii="Arial" w:hAnsi="Arial" w:cs="Arial"/>
        </w:rPr>
        <w:t>* * * * *</w:t>
      </w:r>
    </w:p>
    <w:sectPr w:rsidR="0066466E" w:rsidRPr="00F131FD" w:rsidSect="00744A72">
      <w:headerReference w:type="default" r:id="rId7"/>
      <w:footerReference w:type="default" r:id="rId8"/>
      <w:footnotePr>
        <w:numStart w:val="0"/>
      </w:footnotePr>
      <w:pgSz w:w="12240" w:h="15840" w:code="1"/>
      <w:pgMar w:top="720" w:right="1440" w:bottom="720" w:left="1440" w:header="634" w:footer="634"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C1D1B" w14:textId="77777777" w:rsidR="009142E2" w:rsidRDefault="009142E2">
      <w:r>
        <w:separator/>
      </w:r>
    </w:p>
  </w:endnote>
  <w:endnote w:type="continuationSeparator" w:id="0">
    <w:p w14:paraId="5FEDC609" w14:textId="77777777" w:rsidR="009142E2" w:rsidRDefault="0091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8201D" w14:textId="76772963" w:rsidR="00BD073C" w:rsidRPr="00C51021" w:rsidRDefault="00BD073C" w:rsidP="00BD073C">
    <w:pPr>
      <w:pStyle w:val="Footer"/>
      <w:tabs>
        <w:tab w:val="clear" w:pos="1000"/>
        <w:tab w:val="left" w:pos="0"/>
      </w:tabs>
      <w:ind w:left="0" w:firstLine="0"/>
      <w:jc w:val="center"/>
      <w:rPr>
        <w:rFonts w:ascii="Arial" w:hAnsi="Arial" w:cs="Arial"/>
        <w:b w:val="0"/>
      </w:rPr>
    </w:pPr>
    <w:r w:rsidRPr="00C51021">
      <w:rPr>
        <w:rFonts w:ascii="Arial" w:hAnsi="Arial" w:cs="Arial"/>
        <w:b w:val="0"/>
      </w:rPr>
      <w:t xml:space="preserve">Page </w:t>
    </w:r>
    <w:r w:rsidRPr="00C51021">
      <w:rPr>
        <w:rFonts w:ascii="Arial" w:hAnsi="Arial" w:cs="Arial"/>
        <w:b w:val="0"/>
      </w:rPr>
      <w:fldChar w:fldCharType="begin"/>
    </w:r>
    <w:r w:rsidRPr="00C51021">
      <w:rPr>
        <w:rFonts w:ascii="Arial" w:hAnsi="Arial" w:cs="Arial"/>
        <w:b w:val="0"/>
      </w:rPr>
      <w:instrText xml:space="preserve"> PAGE </w:instrText>
    </w:r>
    <w:r w:rsidRPr="00C51021">
      <w:rPr>
        <w:rFonts w:ascii="Arial" w:hAnsi="Arial" w:cs="Arial"/>
        <w:b w:val="0"/>
      </w:rPr>
      <w:fldChar w:fldCharType="separate"/>
    </w:r>
    <w:r w:rsidR="00C51021">
      <w:rPr>
        <w:rFonts w:ascii="Arial" w:hAnsi="Arial" w:cs="Arial"/>
        <w:b w:val="0"/>
        <w:noProof/>
      </w:rPr>
      <w:t>1</w:t>
    </w:r>
    <w:r w:rsidRPr="00C51021">
      <w:rPr>
        <w:rFonts w:ascii="Arial" w:hAnsi="Arial" w:cs="Arial"/>
        <w:b w:val="0"/>
      </w:rPr>
      <w:fldChar w:fldCharType="end"/>
    </w:r>
    <w:r w:rsidRPr="00C51021">
      <w:rPr>
        <w:rFonts w:ascii="Arial" w:hAnsi="Arial" w:cs="Arial"/>
        <w:b w:val="0"/>
      </w:rPr>
      <w:t xml:space="preserve"> of </w:t>
    </w:r>
    <w:r w:rsidRPr="00C51021">
      <w:rPr>
        <w:rFonts w:ascii="Arial" w:hAnsi="Arial" w:cs="Arial"/>
        <w:b w:val="0"/>
      </w:rPr>
      <w:fldChar w:fldCharType="begin"/>
    </w:r>
    <w:r w:rsidRPr="00C51021">
      <w:rPr>
        <w:rFonts w:ascii="Arial" w:hAnsi="Arial" w:cs="Arial"/>
        <w:b w:val="0"/>
      </w:rPr>
      <w:instrText xml:space="preserve"> NUMPAGES  </w:instrText>
    </w:r>
    <w:r w:rsidRPr="00C51021">
      <w:rPr>
        <w:rFonts w:ascii="Arial" w:hAnsi="Arial" w:cs="Arial"/>
        <w:b w:val="0"/>
      </w:rPr>
      <w:fldChar w:fldCharType="separate"/>
    </w:r>
    <w:r w:rsidR="00C51021">
      <w:rPr>
        <w:rFonts w:ascii="Arial" w:hAnsi="Arial" w:cs="Arial"/>
        <w:b w:val="0"/>
        <w:noProof/>
      </w:rPr>
      <w:t>1</w:t>
    </w:r>
    <w:r w:rsidRPr="00C51021">
      <w:rPr>
        <w:rFonts w:ascii="Arial" w:hAnsi="Arial" w:cs="Arial"/>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AB5A0" w14:textId="77777777" w:rsidR="009142E2" w:rsidRDefault="009142E2">
      <w:r>
        <w:separator/>
      </w:r>
    </w:p>
  </w:footnote>
  <w:footnote w:type="continuationSeparator" w:id="0">
    <w:p w14:paraId="2CE38067" w14:textId="77777777" w:rsidR="009142E2" w:rsidRDefault="0091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6B253" w14:textId="77777777" w:rsidR="00FD4730" w:rsidRDefault="00FD4730">
    <w:pPr>
      <w:pStyle w:val="Header"/>
      <w:ind w:left="0" w:firstLine="0"/>
      <w:rPr>
        <w:rFonts w:ascii="Century Schoolbook" w:hAnsi="Century Schoolbook"/>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Start w:val="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0E"/>
    <w:rsid w:val="000309E3"/>
    <w:rsid w:val="000338FB"/>
    <w:rsid w:val="00042155"/>
    <w:rsid w:val="00064020"/>
    <w:rsid w:val="00093F31"/>
    <w:rsid w:val="000B4A59"/>
    <w:rsid w:val="000C0388"/>
    <w:rsid w:val="000D1C09"/>
    <w:rsid w:val="000F04FC"/>
    <w:rsid w:val="001156A1"/>
    <w:rsid w:val="001171F4"/>
    <w:rsid w:val="00125B9F"/>
    <w:rsid w:val="00164B65"/>
    <w:rsid w:val="001C13D6"/>
    <w:rsid w:val="001D1958"/>
    <w:rsid w:val="001D59CB"/>
    <w:rsid w:val="001E49FD"/>
    <w:rsid w:val="0020096D"/>
    <w:rsid w:val="00205D9F"/>
    <w:rsid w:val="00207C0A"/>
    <w:rsid w:val="002160EA"/>
    <w:rsid w:val="002339C6"/>
    <w:rsid w:val="002437EE"/>
    <w:rsid w:val="002547CE"/>
    <w:rsid w:val="002644D5"/>
    <w:rsid w:val="002661E7"/>
    <w:rsid w:val="002A2EAB"/>
    <w:rsid w:val="002A5C23"/>
    <w:rsid w:val="002B1BC7"/>
    <w:rsid w:val="00302DEE"/>
    <w:rsid w:val="00304013"/>
    <w:rsid w:val="00307AE6"/>
    <w:rsid w:val="00317DFB"/>
    <w:rsid w:val="00325827"/>
    <w:rsid w:val="00386D5F"/>
    <w:rsid w:val="003A5C09"/>
    <w:rsid w:val="003B01CF"/>
    <w:rsid w:val="003B4AED"/>
    <w:rsid w:val="003C4FC8"/>
    <w:rsid w:val="003D0543"/>
    <w:rsid w:val="003D3D61"/>
    <w:rsid w:val="003E6AA4"/>
    <w:rsid w:val="0040224C"/>
    <w:rsid w:val="00415509"/>
    <w:rsid w:val="0041627E"/>
    <w:rsid w:val="00423FEF"/>
    <w:rsid w:val="0043618A"/>
    <w:rsid w:val="00450F9E"/>
    <w:rsid w:val="00460F4E"/>
    <w:rsid w:val="00466150"/>
    <w:rsid w:val="00471046"/>
    <w:rsid w:val="00480530"/>
    <w:rsid w:val="004F05D6"/>
    <w:rsid w:val="005074F8"/>
    <w:rsid w:val="00517F21"/>
    <w:rsid w:val="00523514"/>
    <w:rsid w:val="00530F2B"/>
    <w:rsid w:val="00576A3D"/>
    <w:rsid w:val="00603298"/>
    <w:rsid w:val="0066466E"/>
    <w:rsid w:val="00665D43"/>
    <w:rsid w:val="00677A6A"/>
    <w:rsid w:val="006A782B"/>
    <w:rsid w:val="006B503A"/>
    <w:rsid w:val="006C4099"/>
    <w:rsid w:val="006E0E0E"/>
    <w:rsid w:val="00713477"/>
    <w:rsid w:val="00744A72"/>
    <w:rsid w:val="007A6EC8"/>
    <w:rsid w:val="007B1F7B"/>
    <w:rsid w:val="007F0F80"/>
    <w:rsid w:val="00811445"/>
    <w:rsid w:val="00821128"/>
    <w:rsid w:val="00821334"/>
    <w:rsid w:val="00830F98"/>
    <w:rsid w:val="008877E7"/>
    <w:rsid w:val="008912B4"/>
    <w:rsid w:val="008A062D"/>
    <w:rsid w:val="008D1F57"/>
    <w:rsid w:val="008D255B"/>
    <w:rsid w:val="008F017B"/>
    <w:rsid w:val="009142E2"/>
    <w:rsid w:val="009370E2"/>
    <w:rsid w:val="00953630"/>
    <w:rsid w:val="00982C69"/>
    <w:rsid w:val="00995CE5"/>
    <w:rsid w:val="00996BF9"/>
    <w:rsid w:val="009A730F"/>
    <w:rsid w:val="009B0E80"/>
    <w:rsid w:val="009C49C6"/>
    <w:rsid w:val="009E67B2"/>
    <w:rsid w:val="009E7A86"/>
    <w:rsid w:val="00A1614F"/>
    <w:rsid w:val="00A26143"/>
    <w:rsid w:val="00A3689B"/>
    <w:rsid w:val="00A5425F"/>
    <w:rsid w:val="00AB3320"/>
    <w:rsid w:val="00B128EA"/>
    <w:rsid w:val="00B12E61"/>
    <w:rsid w:val="00B173B9"/>
    <w:rsid w:val="00B405FE"/>
    <w:rsid w:val="00B61AB4"/>
    <w:rsid w:val="00B62F45"/>
    <w:rsid w:val="00B871FC"/>
    <w:rsid w:val="00B96227"/>
    <w:rsid w:val="00BC71C0"/>
    <w:rsid w:val="00BD073C"/>
    <w:rsid w:val="00BE04C5"/>
    <w:rsid w:val="00BE3F29"/>
    <w:rsid w:val="00BF2660"/>
    <w:rsid w:val="00BF5BF4"/>
    <w:rsid w:val="00C16B2A"/>
    <w:rsid w:val="00C37582"/>
    <w:rsid w:val="00C51021"/>
    <w:rsid w:val="00C519EC"/>
    <w:rsid w:val="00C61BF0"/>
    <w:rsid w:val="00C665D2"/>
    <w:rsid w:val="00CC6B74"/>
    <w:rsid w:val="00CF4593"/>
    <w:rsid w:val="00CF67B3"/>
    <w:rsid w:val="00D14750"/>
    <w:rsid w:val="00D16F14"/>
    <w:rsid w:val="00D20CA1"/>
    <w:rsid w:val="00D5289A"/>
    <w:rsid w:val="00D56D04"/>
    <w:rsid w:val="00D674D5"/>
    <w:rsid w:val="00D702E6"/>
    <w:rsid w:val="00D74793"/>
    <w:rsid w:val="00DA0BB2"/>
    <w:rsid w:val="00E14B41"/>
    <w:rsid w:val="00E6444B"/>
    <w:rsid w:val="00E728B8"/>
    <w:rsid w:val="00E74E02"/>
    <w:rsid w:val="00E90229"/>
    <w:rsid w:val="00EA55E6"/>
    <w:rsid w:val="00EB694F"/>
    <w:rsid w:val="00ED76EB"/>
    <w:rsid w:val="00EF30BA"/>
    <w:rsid w:val="00F131FD"/>
    <w:rsid w:val="00F304BF"/>
    <w:rsid w:val="00F30F92"/>
    <w:rsid w:val="00F72FD0"/>
    <w:rsid w:val="00FB229D"/>
    <w:rsid w:val="00FB6B14"/>
    <w:rsid w:val="00FD4730"/>
    <w:rsid w:val="00FE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0C6074"/>
  <w15:docId w15:val="{E34A0C34-E0E7-4BF0-9A7D-827CF46C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character" w:styleId="Hyperlink">
    <w:name w:val="Hyperlink"/>
    <w:rsid w:val="00D14750"/>
    <w:rPr>
      <w:color w:val="0000FF"/>
      <w:u w:val="single"/>
    </w:rPr>
  </w:style>
  <w:style w:type="character" w:styleId="FollowedHyperlink">
    <w:name w:val="FollowedHyperlink"/>
    <w:rsid w:val="00B871FC"/>
    <w:rPr>
      <w:color w:val="800080"/>
      <w:u w:val="single"/>
    </w:rPr>
  </w:style>
  <w:style w:type="character" w:styleId="LineNumber">
    <w:name w:val="line number"/>
    <w:basedOn w:val="DefaultParagraphFont"/>
    <w:semiHidden/>
    <w:unhideWhenUsed/>
    <w:rsid w:val="00D5289A"/>
  </w:style>
  <w:style w:type="character" w:customStyle="1" w:styleId="FooterChar">
    <w:name w:val="Footer Char"/>
    <w:basedOn w:val="DefaultParagraphFont"/>
    <w:link w:val="Footer"/>
    <w:uiPriority w:val="99"/>
    <w:rsid w:val="00BD073C"/>
    <w:rPr>
      <w:b/>
      <w:sz w:val="24"/>
    </w:rPr>
  </w:style>
  <w:style w:type="table" w:styleId="TableGrid">
    <w:name w:val="Table Grid"/>
    <w:basedOn w:val="TableNormal"/>
    <w:rsid w:val="007F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6C4099"/>
    <w:rPr>
      <w:sz w:val="16"/>
      <w:szCs w:val="16"/>
    </w:rPr>
  </w:style>
  <w:style w:type="paragraph" w:styleId="CommentText">
    <w:name w:val="annotation text"/>
    <w:basedOn w:val="Normal"/>
    <w:link w:val="CommentTextChar"/>
    <w:semiHidden/>
    <w:unhideWhenUsed/>
    <w:rsid w:val="006C4099"/>
    <w:rPr>
      <w:sz w:val="20"/>
    </w:rPr>
  </w:style>
  <w:style w:type="character" w:customStyle="1" w:styleId="CommentTextChar">
    <w:name w:val="Comment Text Char"/>
    <w:basedOn w:val="DefaultParagraphFont"/>
    <w:link w:val="CommentText"/>
    <w:semiHidden/>
    <w:rsid w:val="006C4099"/>
    <w:rPr>
      <w:b/>
    </w:rPr>
  </w:style>
  <w:style w:type="paragraph" w:styleId="CommentSubject">
    <w:name w:val="annotation subject"/>
    <w:basedOn w:val="CommentText"/>
    <w:next w:val="CommentText"/>
    <w:link w:val="CommentSubjectChar"/>
    <w:semiHidden/>
    <w:unhideWhenUsed/>
    <w:rsid w:val="006C4099"/>
    <w:rPr>
      <w:bCs/>
    </w:rPr>
  </w:style>
  <w:style w:type="character" w:customStyle="1" w:styleId="CommentSubjectChar">
    <w:name w:val="Comment Subject Char"/>
    <w:basedOn w:val="CommentTextChar"/>
    <w:link w:val="CommentSubject"/>
    <w:semiHidden/>
    <w:rsid w:val="006C4099"/>
    <w:rPr>
      <w:b/>
      <w:bCs/>
    </w:rPr>
  </w:style>
  <w:style w:type="paragraph" w:styleId="BalloonText">
    <w:name w:val="Balloon Text"/>
    <w:basedOn w:val="Normal"/>
    <w:link w:val="BalloonTextChar"/>
    <w:semiHidden/>
    <w:unhideWhenUsed/>
    <w:rsid w:val="006C4099"/>
    <w:rPr>
      <w:rFonts w:ascii="Segoe UI" w:hAnsi="Segoe UI" w:cs="Segoe UI"/>
      <w:sz w:val="18"/>
      <w:szCs w:val="18"/>
    </w:rPr>
  </w:style>
  <w:style w:type="character" w:customStyle="1" w:styleId="BalloonTextChar">
    <w:name w:val="Balloon Text Char"/>
    <w:basedOn w:val="DefaultParagraphFont"/>
    <w:link w:val="BalloonText"/>
    <w:semiHidden/>
    <w:rsid w:val="006C4099"/>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1628">
      <w:bodyDiv w:val="1"/>
      <w:marLeft w:val="0"/>
      <w:marRight w:val="0"/>
      <w:marTop w:val="0"/>
      <w:marBottom w:val="0"/>
      <w:divBdr>
        <w:top w:val="none" w:sz="0" w:space="0" w:color="auto"/>
        <w:left w:val="none" w:sz="0" w:space="0" w:color="auto"/>
        <w:bottom w:val="none" w:sz="0" w:space="0" w:color="auto"/>
        <w:right w:val="none" w:sz="0" w:space="0" w:color="auto"/>
      </w:divBdr>
      <w:divsChild>
        <w:div w:id="1679965922">
          <w:marLeft w:val="0"/>
          <w:marRight w:val="0"/>
          <w:marTop w:val="0"/>
          <w:marBottom w:val="0"/>
          <w:divBdr>
            <w:top w:val="none" w:sz="0" w:space="0" w:color="auto"/>
            <w:left w:val="none" w:sz="0" w:space="0" w:color="auto"/>
            <w:bottom w:val="none" w:sz="0" w:space="0" w:color="auto"/>
            <w:right w:val="none" w:sz="0" w:space="0" w:color="auto"/>
          </w:divBdr>
          <w:divsChild>
            <w:div w:id="84422594">
              <w:marLeft w:val="0"/>
              <w:marRight w:val="0"/>
              <w:marTop w:val="0"/>
              <w:marBottom w:val="0"/>
              <w:divBdr>
                <w:top w:val="none" w:sz="0" w:space="0" w:color="auto"/>
                <w:left w:val="none" w:sz="0" w:space="0" w:color="auto"/>
                <w:bottom w:val="none" w:sz="0" w:space="0" w:color="auto"/>
                <w:right w:val="none" w:sz="0" w:space="0" w:color="auto"/>
              </w:divBdr>
              <w:divsChild>
                <w:div w:id="1221476386">
                  <w:marLeft w:val="0"/>
                  <w:marRight w:val="0"/>
                  <w:marTop w:val="0"/>
                  <w:marBottom w:val="0"/>
                  <w:divBdr>
                    <w:top w:val="none" w:sz="0" w:space="0" w:color="auto"/>
                    <w:left w:val="none" w:sz="0" w:space="0" w:color="auto"/>
                    <w:bottom w:val="none" w:sz="0" w:space="0" w:color="auto"/>
                    <w:right w:val="none" w:sz="0" w:space="0" w:color="auto"/>
                  </w:divBdr>
                </w:div>
              </w:divsChild>
            </w:div>
            <w:div w:id="2050717236">
              <w:marLeft w:val="0"/>
              <w:marRight w:val="0"/>
              <w:marTop w:val="0"/>
              <w:marBottom w:val="0"/>
              <w:divBdr>
                <w:top w:val="none" w:sz="0" w:space="0" w:color="auto"/>
                <w:left w:val="none" w:sz="0" w:space="0" w:color="auto"/>
                <w:bottom w:val="none" w:sz="0" w:space="0" w:color="auto"/>
                <w:right w:val="none" w:sz="0" w:space="0" w:color="auto"/>
              </w:divBdr>
              <w:divsChild>
                <w:div w:id="1124496587">
                  <w:marLeft w:val="0"/>
                  <w:marRight w:val="0"/>
                  <w:marTop w:val="0"/>
                  <w:marBottom w:val="0"/>
                  <w:divBdr>
                    <w:top w:val="none" w:sz="0" w:space="0" w:color="auto"/>
                    <w:left w:val="none" w:sz="0" w:space="0" w:color="auto"/>
                    <w:bottom w:val="none" w:sz="0" w:space="0" w:color="auto"/>
                    <w:right w:val="none" w:sz="0" w:space="0" w:color="auto"/>
                  </w:divBdr>
                </w:div>
                <w:div w:id="12274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4707">
      <w:bodyDiv w:val="1"/>
      <w:marLeft w:val="0"/>
      <w:marRight w:val="0"/>
      <w:marTop w:val="0"/>
      <w:marBottom w:val="0"/>
      <w:divBdr>
        <w:top w:val="none" w:sz="0" w:space="0" w:color="auto"/>
        <w:left w:val="none" w:sz="0" w:space="0" w:color="auto"/>
        <w:bottom w:val="none" w:sz="0" w:space="0" w:color="auto"/>
        <w:right w:val="none" w:sz="0" w:space="0" w:color="auto"/>
      </w:divBdr>
      <w:divsChild>
        <w:div w:id="1586694806">
          <w:marLeft w:val="0"/>
          <w:marRight w:val="0"/>
          <w:marTop w:val="0"/>
          <w:marBottom w:val="0"/>
          <w:divBdr>
            <w:top w:val="none" w:sz="0" w:space="0" w:color="auto"/>
            <w:left w:val="none" w:sz="0" w:space="0" w:color="auto"/>
            <w:bottom w:val="none" w:sz="0" w:space="0" w:color="auto"/>
            <w:right w:val="none" w:sz="0" w:space="0" w:color="auto"/>
          </w:divBdr>
          <w:divsChild>
            <w:div w:id="306083447">
              <w:marLeft w:val="0"/>
              <w:marRight w:val="0"/>
              <w:marTop w:val="0"/>
              <w:marBottom w:val="0"/>
              <w:divBdr>
                <w:top w:val="none" w:sz="0" w:space="0" w:color="auto"/>
                <w:left w:val="none" w:sz="0" w:space="0" w:color="auto"/>
                <w:bottom w:val="none" w:sz="0" w:space="0" w:color="auto"/>
                <w:right w:val="none" w:sz="0" w:space="0" w:color="auto"/>
              </w:divBdr>
              <w:divsChild>
                <w:div w:id="15097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3870">
      <w:bodyDiv w:val="1"/>
      <w:marLeft w:val="0"/>
      <w:marRight w:val="0"/>
      <w:marTop w:val="0"/>
      <w:marBottom w:val="0"/>
      <w:divBdr>
        <w:top w:val="none" w:sz="0" w:space="0" w:color="auto"/>
        <w:left w:val="none" w:sz="0" w:space="0" w:color="auto"/>
        <w:bottom w:val="none" w:sz="0" w:space="0" w:color="auto"/>
        <w:right w:val="none" w:sz="0" w:space="0" w:color="auto"/>
      </w:divBdr>
      <w:divsChild>
        <w:div w:id="833253579">
          <w:marLeft w:val="0"/>
          <w:marRight w:val="0"/>
          <w:marTop w:val="0"/>
          <w:marBottom w:val="0"/>
          <w:divBdr>
            <w:top w:val="none" w:sz="0" w:space="0" w:color="auto"/>
            <w:left w:val="none" w:sz="0" w:space="0" w:color="auto"/>
            <w:bottom w:val="none" w:sz="0" w:space="0" w:color="auto"/>
            <w:right w:val="none" w:sz="0" w:space="0" w:color="auto"/>
          </w:divBdr>
          <w:divsChild>
            <w:div w:id="1109661332">
              <w:marLeft w:val="0"/>
              <w:marRight w:val="0"/>
              <w:marTop w:val="0"/>
              <w:marBottom w:val="0"/>
              <w:divBdr>
                <w:top w:val="none" w:sz="0" w:space="0" w:color="auto"/>
                <w:left w:val="none" w:sz="0" w:space="0" w:color="auto"/>
                <w:bottom w:val="none" w:sz="0" w:space="0" w:color="auto"/>
                <w:right w:val="none" w:sz="0" w:space="0" w:color="auto"/>
              </w:divBdr>
              <w:divsChild>
                <w:div w:id="927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osd.mil/dpap/dars/dfars/html/current/252215.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SUBPART 201.3—AGENCY ACQUISITION REGULATIONS</vt:lpstr>
    </vt:vector>
  </TitlesOfParts>
  <Company>DoD</Company>
  <LinksUpToDate>false</LinksUpToDate>
  <CharactersWithSpaces>1206</CharactersWithSpaces>
  <SharedDoc>false</SharedDoc>
  <HLinks>
    <vt:vector size="18" baseType="variant">
      <vt:variant>
        <vt:i4>2490487</vt:i4>
      </vt:variant>
      <vt:variant>
        <vt:i4>6</vt:i4>
      </vt:variant>
      <vt:variant>
        <vt:i4>0</vt:i4>
      </vt:variant>
      <vt:variant>
        <vt:i4>5</vt:i4>
      </vt:variant>
      <vt:variant>
        <vt:lpwstr>http://www.acq.osd.mil/dpap/dars/dfars/html/current/252215.htm</vt:lpwstr>
      </vt:variant>
      <vt:variant>
        <vt:lpwstr>252.215-7005</vt:lpwstr>
      </vt:variant>
      <vt:variant>
        <vt:i4>4784250</vt:i4>
      </vt:variant>
      <vt:variant>
        <vt:i4>3</vt:i4>
      </vt:variant>
      <vt:variant>
        <vt:i4>0</vt:i4>
      </vt:variant>
      <vt:variant>
        <vt:i4>5</vt:i4>
      </vt:variant>
      <vt:variant>
        <vt:lpwstr>http://www.acq.osd.mil/dpap/dars/dfars/html/current/239_73.htm</vt:lpwstr>
      </vt:variant>
      <vt:variant>
        <vt:lpwstr/>
      </vt:variant>
      <vt:variant>
        <vt:i4>4194325</vt:i4>
      </vt:variant>
      <vt:variant>
        <vt:i4>0</vt:i4>
      </vt:variant>
      <vt:variant>
        <vt:i4>0</vt:i4>
      </vt:variant>
      <vt:variant>
        <vt:i4>5</vt:i4>
      </vt:variant>
      <vt:variant>
        <vt:lpwstr>http://www.acq.osd.mil/dpap/policy/policyvault/USA007183-10-DPAP.pdf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SUBPART 201.3—AGENCY ACQUISITION REGULATIONS</dc:title>
  <dc:creator>OUSD(A&amp;T)</dc:creator>
  <cp:lastModifiedBy>Johnson, Jennifer D CIV OSD OUSD A-S (USA)</cp:lastModifiedBy>
  <cp:revision>5</cp:revision>
  <cp:lastPrinted>2011-03-07T18:18:00Z</cp:lastPrinted>
  <dcterms:created xsi:type="dcterms:W3CDTF">2022-02-28T21:02:00Z</dcterms:created>
  <dcterms:modified xsi:type="dcterms:W3CDTF">2022-03-09T15:38:00Z</dcterms:modified>
</cp:coreProperties>
</file>