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26C7E" w14:textId="2F9B875A" w:rsidR="005E1FE4" w:rsidRPr="001615F4" w:rsidRDefault="005E1FE4" w:rsidP="005E1FE4">
      <w:pPr>
        <w:pStyle w:val="Header"/>
        <w:tabs>
          <w:tab w:val="clear" w:pos="8640"/>
          <w:tab w:val="left" w:pos="4590"/>
        </w:tabs>
        <w:ind w:left="0" w:firstLine="0"/>
        <w:jc w:val="center"/>
        <w:rPr>
          <w:rFonts w:ascii="Arial" w:hAnsi="Arial" w:cs="Arial"/>
          <w:b w:val="0"/>
          <w:szCs w:val="24"/>
        </w:rPr>
      </w:pPr>
      <w:bookmarkStart w:id="0" w:name="BM204_72"/>
      <w:r>
        <w:rPr>
          <w:rFonts w:ascii="Arial" w:hAnsi="Arial" w:cs="Arial"/>
          <w:b w:val="0"/>
          <w:szCs w:val="24"/>
        </w:rPr>
        <w:t>DFARS PGI Case 2021-P002</w:t>
      </w:r>
    </w:p>
    <w:p w14:paraId="57C8F7FC" w14:textId="11714AAF" w:rsidR="005E1FE4" w:rsidRDefault="005E1FE4" w:rsidP="005E1FE4">
      <w:pPr>
        <w:pStyle w:val="Header"/>
        <w:tabs>
          <w:tab w:val="clear" w:pos="8640"/>
          <w:tab w:val="left" w:pos="4590"/>
        </w:tabs>
        <w:ind w:left="0" w:firstLine="0"/>
        <w:jc w:val="center"/>
        <w:rPr>
          <w:rFonts w:ascii="Arial" w:hAnsi="Arial" w:cs="Arial"/>
          <w:b w:val="0"/>
          <w:szCs w:val="24"/>
        </w:rPr>
      </w:pPr>
      <w:r w:rsidRPr="001615F4">
        <w:rPr>
          <w:rFonts w:ascii="Arial" w:hAnsi="Arial" w:cs="Arial"/>
          <w:b w:val="0"/>
          <w:szCs w:val="24"/>
        </w:rPr>
        <w:t>Guidance on Criteria for the Use of Lowest Price Technically Acceptable Source Selection Process</w:t>
      </w:r>
    </w:p>
    <w:p w14:paraId="424AD5B8" w14:textId="62C96C78" w:rsidR="005E1FE4" w:rsidRDefault="005E1FE4" w:rsidP="005E1FE4">
      <w:pPr>
        <w:pStyle w:val="Header"/>
        <w:tabs>
          <w:tab w:val="clear" w:pos="8640"/>
          <w:tab w:val="left" w:pos="4590"/>
        </w:tabs>
        <w:ind w:left="0" w:firstLine="0"/>
        <w:jc w:val="center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PGI Text</w:t>
      </w:r>
    </w:p>
    <w:p w14:paraId="64531208" w14:textId="77777777" w:rsidR="005E1FE4" w:rsidRPr="001615F4" w:rsidRDefault="005E1FE4" w:rsidP="005E1FE4">
      <w:pPr>
        <w:pStyle w:val="Header"/>
        <w:tabs>
          <w:tab w:val="clear" w:pos="8640"/>
          <w:tab w:val="left" w:pos="4590"/>
        </w:tabs>
        <w:ind w:left="0" w:firstLine="0"/>
        <w:jc w:val="center"/>
        <w:rPr>
          <w:rFonts w:ascii="Arial" w:hAnsi="Arial" w:cs="Arial"/>
          <w:b w:val="0"/>
          <w:szCs w:val="24"/>
        </w:rPr>
      </w:pPr>
    </w:p>
    <w:p w14:paraId="3B703C77" w14:textId="77777777" w:rsidR="00E8092D" w:rsidRDefault="00E8092D" w:rsidP="006B682B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</w:p>
    <w:p w14:paraId="42A92017" w14:textId="48862C0F" w:rsidR="001615F4" w:rsidRPr="001615F4" w:rsidRDefault="001615F4" w:rsidP="006B682B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 w:rsidRPr="001615F4">
        <w:rPr>
          <w:rFonts w:ascii="Arial" w:hAnsi="Arial" w:cs="Arial"/>
          <w:b/>
          <w:szCs w:val="24"/>
        </w:rPr>
        <w:t>PGI 215—Contracting by Negotiation</w:t>
      </w:r>
    </w:p>
    <w:p w14:paraId="6F44A53D" w14:textId="77777777" w:rsidR="001615F4" w:rsidRDefault="001615F4" w:rsidP="006B682B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i/>
          <w:szCs w:val="24"/>
        </w:rPr>
      </w:pPr>
    </w:p>
    <w:p w14:paraId="391A128C" w14:textId="77777777" w:rsidR="00E14B41" w:rsidRDefault="00E14B41" w:rsidP="006B682B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</w:p>
    <w:p w14:paraId="38465003" w14:textId="247778EB" w:rsidR="00F131FD" w:rsidRDefault="00F131FD" w:rsidP="006B682B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  <w:r w:rsidRPr="00F131FD">
        <w:rPr>
          <w:rFonts w:ascii="Arial" w:hAnsi="Arial" w:cs="Arial"/>
          <w:b/>
        </w:rPr>
        <w:t>PGI 215.</w:t>
      </w:r>
      <w:r w:rsidR="003A629C">
        <w:rPr>
          <w:rFonts w:ascii="Arial" w:hAnsi="Arial" w:cs="Arial"/>
          <w:b/>
        </w:rPr>
        <w:t>1–SOURCE SELECTION PROCESSES AND TECHNIQUES</w:t>
      </w:r>
    </w:p>
    <w:p w14:paraId="329AB16D" w14:textId="73955FD0" w:rsid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</w:p>
    <w:p w14:paraId="2105BAFE" w14:textId="69E315B9" w:rsid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215.101-2-</w:t>
      </w:r>
      <w:proofErr w:type="gramStart"/>
      <w:r>
        <w:rPr>
          <w:rFonts w:ascii="Arial" w:hAnsi="Arial" w:cs="Arial"/>
          <w:b/>
        </w:rPr>
        <w:t>70</w:t>
      </w:r>
      <w:r w:rsidR="004F2272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Limitations</w:t>
      </w:r>
      <w:proofErr w:type="gramEnd"/>
      <w:r>
        <w:rPr>
          <w:rFonts w:ascii="Arial" w:hAnsi="Arial" w:cs="Arial"/>
          <w:b/>
        </w:rPr>
        <w:t xml:space="preserve"> and prohibitions.</w:t>
      </w:r>
    </w:p>
    <w:p w14:paraId="74630CA6" w14:textId="77777777" w:rsid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</w:p>
    <w:p w14:paraId="4DE0A1DB" w14:textId="4F768CAF" w:rsidR="003A629C" w:rsidRP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A629C">
        <w:rPr>
          <w:rFonts w:ascii="Arial" w:hAnsi="Arial" w:cs="Arial"/>
          <w:bCs/>
        </w:rPr>
        <w:t>(a)</w:t>
      </w:r>
      <w:r>
        <w:rPr>
          <w:rFonts w:ascii="Arial" w:hAnsi="Arial" w:cs="Arial"/>
          <w:b/>
        </w:rPr>
        <w:t xml:space="preserve">  </w:t>
      </w:r>
      <w:r w:rsidRPr="003A629C">
        <w:rPr>
          <w:rFonts w:ascii="Arial" w:hAnsi="Arial" w:cs="Arial"/>
          <w:i/>
        </w:rPr>
        <w:t>Limitations</w:t>
      </w:r>
      <w:r w:rsidRPr="003A629C">
        <w:rPr>
          <w:rFonts w:ascii="Arial" w:hAnsi="Arial" w:cs="Arial"/>
        </w:rPr>
        <w:t>.</w:t>
      </w:r>
    </w:p>
    <w:p w14:paraId="3DAE25ED" w14:textId="77777777" w:rsidR="003A629C" w:rsidRP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</w:rPr>
      </w:pPr>
    </w:p>
    <w:p w14:paraId="5CF1D561" w14:textId="7E550462" w:rsidR="003A629C" w:rsidRP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</w:rPr>
      </w:pPr>
      <w:r w:rsidRPr="003A629C">
        <w:rPr>
          <w:rFonts w:ascii="Arial" w:hAnsi="Arial" w:cs="Arial"/>
        </w:rPr>
        <w:tab/>
      </w:r>
      <w:r w:rsidRPr="003A629C">
        <w:rPr>
          <w:rFonts w:ascii="Arial" w:hAnsi="Arial" w:cs="Arial"/>
        </w:rPr>
        <w:tab/>
      </w:r>
      <w:r w:rsidRPr="00621224">
        <w:rPr>
          <w:rFonts w:ascii="Arial" w:hAnsi="Arial" w:cs="Arial"/>
        </w:rPr>
        <w:t>(1)(vi</w:t>
      </w:r>
      <w:proofErr w:type="gramStart"/>
      <w:r w:rsidRPr="00621224">
        <w:rPr>
          <w:rFonts w:ascii="Arial" w:hAnsi="Arial" w:cs="Arial"/>
        </w:rPr>
        <w:t>)</w:t>
      </w:r>
      <w:r w:rsidR="00E8071F" w:rsidRPr="00621224">
        <w:rPr>
          <w:rFonts w:ascii="Arial" w:hAnsi="Arial" w:cs="Arial"/>
        </w:rPr>
        <w:t xml:space="preserve"> </w:t>
      </w:r>
      <w:r w:rsidRPr="00621224">
        <w:rPr>
          <w:rFonts w:ascii="Arial" w:hAnsi="Arial" w:cs="Arial"/>
        </w:rPr>
        <w:t xml:space="preserve"> Contracting</w:t>
      </w:r>
      <w:proofErr w:type="gramEnd"/>
      <w:r w:rsidRPr="00621224">
        <w:rPr>
          <w:rFonts w:ascii="Arial" w:hAnsi="Arial" w:cs="Arial"/>
        </w:rPr>
        <w:t xml:space="preserve"> officers shall obtain guidance from the requiring activity when it is unclear whether a supply is “predominately expendable in nature” or “nontechnical,” or has a “short life expectancy” or “short shelf life.”</w:t>
      </w:r>
      <w:r w:rsidR="000811C0" w:rsidRPr="00621224">
        <w:t xml:space="preserve"> </w:t>
      </w:r>
      <w:r w:rsidR="005E1FE4">
        <w:t xml:space="preserve"> </w:t>
      </w:r>
      <w:r w:rsidR="000811C0" w:rsidRPr="00621224">
        <w:rPr>
          <w:rFonts w:ascii="Arial" w:hAnsi="Arial" w:cs="Arial"/>
          <w:b/>
        </w:rPr>
        <w:t>[</w:t>
      </w:r>
      <w:r w:rsidR="00621224">
        <w:rPr>
          <w:rFonts w:ascii="Arial" w:hAnsi="Arial" w:cs="Arial"/>
          <w:b/>
        </w:rPr>
        <w:t>In such situations</w:t>
      </w:r>
      <w:r w:rsidR="00ED011F" w:rsidRPr="00621224">
        <w:rPr>
          <w:rFonts w:ascii="Arial" w:hAnsi="Arial" w:cs="Arial"/>
          <w:b/>
        </w:rPr>
        <w:t>, c</w:t>
      </w:r>
      <w:r w:rsidR="000811C0" w:rsidRPr="00621224">
        <w:rPr>
          <w:rFonts w:ascii="Arial" w:hAnsi="Arial" w:cs="Arial"/>
          <w:b/>
        </w:rPr>
        <w:t>ontracting officer</w:t>
      </w:r>
      <w:r w:rsidR="00121970" w:rsidRPr="00621224">
        <w:rPr>
          <w:rFonts w:ascii="Arial" w:hAnsi="Arial" w:cs="Arial"/>
          <w:b/>
        </w:rPr>
        <w:t>s shall</w:t>
      </w:r>
      <w:r w:rsidR="000811C0" w:rsidRPr="00621224">
        <w:rPr>
          <w:rFonts w:ascii="Arial" w:hAnsi="Arial" w:cs="Arial"/>
          <w:b/>
        </w:rPr>
        <w:t xml:space="preserve"> </w:t>
      </w:r>
      <w:r w:rsidR="00621224" w:rsidRPr="00621224">
        <w:rPr>
          <w:rFonts w:ascii="Arial" w:hAnsi="Arial" w:cs="Arial"/>
          <w:b/>
        </w:rPr>
        <w:t xml:space="preserve">only </w:t>
      </w:r>
      <w:r w:rsidR="00121970" w:rsidRPr="00621224">
        <w:rPr>
          <w:rFonts w:ascii="Arial" w:hAnsi="Arial" w:cs="Arial"/>
          <w:b/>
        </w:rPr>
        <w:t xml:space="preserve">use the lowest price technically acceptable source selection process if </w:t>
      </w:r>
      <w:r w:rsidR="00621224">
        <w:rPr>
          <w:rFonts w:ascii="Arial" w:hAnsi="Arial" w:cs="Arial"/>
          <w:b/>
        </w:rPr>
        <w:t>the requiring activity</w:t>
      </w:r>
      <w:r w:rsidR="00ED011F" w:rsidRPr="00621224">
        <w:rPr>
          <w:rFonts w:ascii="Arial" w:hAnsi="Arial" w:cs="Arial"/>
          <w:b/>
        </w:rPr>
        <w:t xml:space="preserve"> </w:t>
      </w:r>
      <w:r w:rsidR="00AF623A" w:rsidRPr="00621224">
        <w:rPr>
          <w:rFonts w:ascii="Arial" w:hAnsi="Arial" w:cs="Arial"/>
          <w:b/>
        </w:rPr>
        <w:t>establis</w:t>
      </w:r>
      <w:r w:rsidR="00ED011F" w:rsidRPr="00621224">
        <w:rPr>
          <w:rFonts w:ascii="Arial" w:hAnsi="Arial" w:cs="Arial"/>
          <w:b/>
        </w:rPr>
        <w:t>he</w:t>
      </w:r>
      <w:r w:rsidR="00621224">
        <w:rPr>
          <w:rFonts w:ascii="Arial" w:hAnsi="Arial" w:cs="Arial"/>
          <w:b/>
        </w:rPr>
        <w:t>s</w:t>
      </w:r>
      <w:r w:rsidR="00AF623A" w:rsidRPr="00621224">
        <w:rPr>
          <w:rFonts w:ascii="Arial" w:hAnsi="Arial" w:cs="Arial"/>
          <w:b/>
        </w:rPr>
        <w:t xml:space="preserve"> that </w:t>
      </w:r>
      <w:r w:rsidR="00121970" w:rsidRPr="00621224">
        <w:rPr>
          <w:rFonts w:ascii="Arial" w:hAnsi="Arial" w:cs="Arial"/>
          <w:b/>
        </w:rPr>
        <w:t xml:space="preserve">the goods to be procured are predominantly expendable in nature, </w:t>
      </w:r>
      <w:r w:rsidR="00051A68" w:rsidRPr="00621224">
        <w:rPr>
          <w:rFonts w:ascii="Arial" w:hAnsi="Arial" w:cs="Arial"/>
          <w:b/>
        </w:rPr>
        <w:t xml:space="preserve">are </w:t>
      </w:r>
      <w:r w:rsidR="00121970" w:rsidRPr="00621224">
        <w:rPr>
          <w:rFonts w:ascii="Arial" w:hAnsi="Arial" w:cs="Arial"/>
          <w:b/>
        </w:rPr>
        <w:t>nontechnical,</w:t>
      </w:r>
      <w:r w:rsidR="00121970" w:rsidRPr="00121970">
        <w:rPr>
          <w:rFonts w:ascii="Arial" w:hAnsi="Arial" w:cs="Arial"/>
          <w:b/>
        </w:rPr>
        <w:t xml:space="preserve"> or have a short life expectancy or short shelf life</w:t>
      </w:r>
      <w:r w:rsidR="000811C0" w:rsidRPr="000811C0">
        <w:rPr>
          <w:rFonts w:ascii="Arial" w:hAnsi="Arial" w:cs="Arial"/>
          <w:b/>
        </w:rPr>
        <w:t>.]</w:t>
      </w:r>
    </w:p>
    <w:p w14:paraId="4493D3BD" w14:textId="77777777" w:rsidR="003A629C" w:rsidRP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</w:rPr>
      </w:pPr>
    </w:p>
    <w:p w14:paraId="762EC9E8" w14:textId="267D12AE" w:rsidR="003A629C" w:rsidRPr="000811C0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  <w:r w:rsidRPr="003A629C">
        <w:rPr>
          <w:rFonts w:ascii="Arial" w:hAnsi="Arial" w:cs="Arial"/>
        </w:rPr>
        <w:tab/>
      </w:r>
      <w:r w:rsidRPr="003A629C">
        <w:rPr>
          <w:rFonts w:ascii="Arial" w:hAnsi="Arial" w:cs="Arial"/>
        </w:rPr>
        <w:tab/>
      </w:r>
      <w:r w:rsidRPr="003A629C">
        <w:rPr>
          <w:rFonts w:ascii="Arial" w:hAnsi="Arial" w:cs="Arial"/>
        </w:rPr>
        <w:tab/>
        <w:t xml:space="preserve">(vii) </w:t>
      </w:r>
      <w:r w:rsidR="00E8071F">
        <w:rPr>
          <w:rFonts w:ascii="Arial" w:hAnsi="Arial" w:cs="Arial"/>
        </w:rPr>
        <w:t xml:space="preserve"> </w:t>
      </w:r>
      <w:r w:rsidRPr="003A629C">
        <w:rPr>
          <w:rFonts w:ascii="Arial" w:hAnsi="Arial" w:cs="Arial"/>
        </w:rPr>
        <w:t xml:space="preserve">The contracting officer shall document the contract file with a determination from the requiring activity that the lowest priced offer reflects full life-cycle costs for the supply or </w:t>
      </w:r>
      <w:proofErr w:type="gramStart"/>
      <w:r w:rsidRPr="003A629C">
        <w:rPr>
          <w:rFonts w:ascii="Arial" w:hAnsi="Arial" w:cs="Arial"/>
        </w:rPr>
        <w:t>service</w:t>
      </w:r>
      <w:r w:rsidR="000811C0" w:rsidRPr="000811C0">
        <w:rPr>
          <w:rFonts w:ascii="Arial" w:hAnsi="Arial" w:cs="Arial"/>
          <w:b/>
        </w:rPr>
        <w:t>[</w:t>
      </w:r>
      <w:proofErr w:type="gramEnd"/>
      <w:r w:rsidR="000811C0" w:rsidRPr="000811C0">
        <w:rPr>
          <w:rFonts w:ascii="Arial" w:hAnsi="Arial" w:cs="Arial"/>
          <w:b/>
        </w:rPr>
        <w:t>.</w:t>
      </w:r>
      <w:r w:rsidR="005E1FE4">
        <w:rPr>
          <w:rFonts w:ascii="Arial" w:hAnsi="Arial" w:cs="Arial"/>
          <w:b/>
        </w:rPr>
        <w:t xml:space="preserve"> </w:t>
      </w:r>
      <w:r w:rsidR="000811C0" w:rsidRPr="000811C0">
        <w:rPr>
          <w:rFonts w:ascii="Arial" w:hAnsi="Arial" w:cs="Arial"/>
          <w:b/>
        </w:rPr>
        <w:t xml:space="preserve"> </w:t>
      </w:r>
      <w:r w:rsidR="00121970">
        <w:rPr>
          <w:rFonts w:ascii="Arial" w:hAnsi="Arial" w:cs="Arial"/>
          <w:b/>
        </w:rPr>
        <w:t>F</w:t>
      </w:r>
      <w:r w:rsidR="00121970" w:rsidRPr="00121970">
        <w:rPr>
          <w:rFonts w:ascii="Arial" w:hAnsi="Arial" w:cs="Arial"/>
          <w:b/>
        </w:rPr>
        <w:t>or additional information on life-cycle costs for supplies</w:t>
      </w:r>
      <w:proofErr w:type="gramStart"/>
      <w:r w:rsidR="00121970">
        <w:rPr>
          <w:rFonts w:ascii="Arial" w:hAnsi="Arial" w:cs="Arial"/>
          <w:b/>
        </w:rPr>
        <w:t>,</w:t>
      </w:r>
      <w:r w:rsidR="000811C0" w:rsidRPr="000811C0">
        <w:rPr>
          <w:rFonts w:ascii="Arial" w:hAnsi="Arial" w:cs="Arial"/>
          <w:b/>
        </w:rPr>
        <w:t>]</w:t>
      </w:r>
      <w:r w:rsidRPr="000811C0">
        <w:rPr>
          <w:rFonts w:ascii="Arial" w:hAnsi="Arial" w:cs="Arial"/>
          <w:strike/>
        </w:rPr>
        <w:t>(</w:t>
      </w:r>
      <w:proofErr w:type="gramEnd"/>
      <w:r w:rsidRPr="00121970">
        <w:rPr>
          <w:rFonts w:ascii="Arial" w:hAnsi="Arial" w:cs="Arial"/>
        </w:rPr>
        <w:t>s</w:t>
      </w:r>
      <w:r w:rsidRPr="003A629C">
        <w:rPr>
          <w:rFonts w:ascii="Arial" w:hAnsi="Arial" w:cs="Arial"/>
        </w:rPr>
        <w:t>ee DoD Instruction 4140.01, DoD Supply Chain Material Management Policy</w:t>
      </w:r>
      <w:r w:rsidR="00E8071F" w:rsidRPr="00121970">
        <w:rPr>
          <w:rFonts w:ascii="Arial" w:hAnsi="Arial" w:cs="Arial"/>
          <w:strike/>
        </w:rPr>
        <w:t>,</w:t>
      </w:r>
      <w:r w:rsidRPr="00121970">
        <w:rPr>
          <w:rFonts w:ascii="Arial" w:hAnsi="Arial" w:cs="Arial"/>
          <w:strike/>
        </w:rPr>
        <w:t xml:space="preserve"> for additional information on life-cycle costs for supplies)</w:t>
      </w:r>
      <w:r w:rsidRPr="003A629C">
        <w:rPr>
          <w:rFonts w:ascii="Arial" w:hAnsi="Arial" w:cs="Arial"/>
        </w:rPr>
        <w:t>.</w:t>
      </w:r>
      <w:r w:rsidR="000811C0" w:rsidRPr="000811C0">
        <w:rPr>
          <w:rFonts w:ascii="Arial" w:hAnsi="Arial" w:cs="Arial"/>
          <w:b/>
        </w:rPr>
        <w:t xml:space="preserve">  [For services, full life-cycle costs are equal to the contract cost of the services.]</w:t>
      </w:r>
    </w:p>
    <w:p w14:paraId="1FBAC7E7" w14:textId="77777777" w:rsidR="003A629C" w:rsidRDefault="003A629C" w:rsidP="003A629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</w:rPr>
      </w:pPr>
      <w:bookmarkStart w:id="1" w:name="_GoBack"/>
      <w:bookmarkEnd w:id="1"/>
    </w:p>
    <w:bookmarkEnd w:id="0"/>
    <w:p w14:paraId="25988604" w14:textId="5B93A96E" w:rsidR="00B61AB4" w:rsidRPr="001171F4" w:rsidRDefault="00B61AB4" w:rsidP="003A629C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zCs w:val="24"/>
        </w:rPr>
      </w:pPr>
    </w:p>
    <w:sectPr w:rsidR="00B61AB4" w:rsidRPr="001171F4" w:rsidSect="005E1FE4">
      <w:footerReference w:type="default" r:id="rId8"/>
      <w:type w:val="continuous"/>
      <w:pgSz w:w="12240" w:h="15840" w:code="1"/>
      <w:pgMar w:top="1440" w:right="1440" w:bottom="1440" w:left="1440" w:header="634" w:footer="6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C5350" w14:textId="77777777" w:rsidR="00EC3D35" w:rsidRDefault="00EC3D35">
      <w:r>
        <w:separator/>
      </w:r>
    </w:p>
  </w:endnote>
  <w:endnote w:type="continuationSeparator" w:id="0">
    <w:p w14:paraId="6F439F1C" w14:textId="77777777" w:rsidR="00EC3D35" w:rsidRDefault="00EC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FE5A" w14:textId="3B80EC95" w:rsidR="00FD4730" w:rsidRPr="005E1FE4" w:rsidRDefault="005E1FE4" w:rsidP="005E1FE4">
    <w:pPr>
      <w:pStyle w:val="Footer"/>
      <w:jc w:val="center"/>
      <w:rPr>
        <w:rFonts w:ascii="Arial" w:hAnsi="Arial" w:cs="Arial"/>
        <w:b w:val="0"/>
      </w:rPr>
    </w:pPr>
    <w:r w:rsidRPr="005E1FE4">
      <w:rPr>
        <w:rFonts w:ascii="Arial" w:hAnsi="Arial" w:cs="Arial"/>
        <w:b w:val="0"/>
      </w:rPr>
      <w:t xml:space="preserve">Page </w:t>
    </w:r>
    <w:r w:rsidRPr="005E1FE4">
      <w:rPr>
        <w:rFonts w:ascii="Arial" w:hAnsi="Arial" w:cs="Arial"/>
        <w:b w:val="0"/>
        <w:bCs/>
      </w:rPr>
      <w:fldChar w:fldCharType="begin"/>
    </w:r>
    <w:r w:rsidRPr="005E1FE4">
      <w:rPr>
        <w:rFonts w:ascii="Arial" w:hAnsi="Arial" w:cs="Arial"/>
        <w:b w:val="0"/>
        <w:bCs/>
      </w:rPr>
      <w:instrText xml:space="preserve"> PAGE  \* Arabic  \* MERGEFORMAT </w:instrText>
    </w:r>
    <w:r w:rsidRPr="005E1FE4">
      <w:rPr>
        <w:rFonts w:ascii="Arial" w:hAnsi="Arial" w:cs="Arial"/>
        <w:b w:val="0"/>
        <w:bCs/>
      </w:rPr>
      <w:fldChar w:fldCharType="separate"/>
    </w:r>
    <w:r>
      <w:rPr>
        <w:rFonts w:ascii="Arial" w:hAnsi="Arial" w:cs="Arial"/>
        <w:b w:val="0"/>
        <w:bCs/>
        <w:noProof/>
      </w:rPr>
      <w:t>1</w:t>
    </w:r>
    <w:r w:rsidRPr="005E1FE4">
      <w:rPr>
        <w:rFonts w:ascii="Arial" w:hAnsi="Arial" w:cs="Arial"/>
        <w:b w:val="0"/>
        <w:bCs/>
      </w:rPr>
      <w:fldChar w:fldCharType="end"/>
    </w:r>
    <w:r w:rsidRPr="005E1FE4">
      <w:rPr>
        <w:rFonts w:ascii="Arial" w:hAnsi="Arial" w:cs="Arial"/>
        <w:b w:val="0"/>
      </w:rPr>
      <w:t xml:space="preserve"> of </w:t>
    </w:r>
    <w:r w:rsidRPr="005E1FE4">
      <w:rPr>
        <w:rFonts w:ascii="Arial" w:hAnsi="Arial" w:cs="Arial"/>
        <w:b w:val="0"/>
        <w:bCs/>
      </w:rPr>
      <w:fldChar w:fldCharType="begin"/>
    </w:r>
    <w:r w:rsidRPr="005E1FE4">
      <w:rPr>
        <w:rFonts w:ascii="Arial" w:hAnsi="Arial" w:cs="Arial"/>
        <w:b w:val="0"/>
        <w:bCs/>
      </w:rPr>
      <w:instrText xml:space="preserve"> NUMPAGES  \* Arabic  \* MERGEFORMAT </w:instrText>
    </w:r>
    <w:r w:rsidRPr="005E1FE4">
      <w:rPr>
        <w:rFonts w:ascii="Arial" w:hAnsi="Arial" w:cs="Arial"/>
        <w:b w:val="0"/>
        <w:bCs/>
      </w:rPr>
      <w:fldChar w:fldCharType="separate"/>
    </w:r>
    <w:r>
      <w:rPr>
        <w:rFonts w:ascii="Arial" w:hAnsi="Arial" w:cs="Arial"/>
        <w:b w:val="0"/>
        <w:bCs/>
        <w:noProof/>
      </w:rPr>
      <w:t>1</w:t>
    </w:r>
    <w:r w:rsidRPr="005E1FE4">
      <w:rPr>
        <w:rFonts w:ascii="Arial" w:hAnsi="Arial" w:cs="Arial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708A0" w14:textId="77777777" w:rsidR="00EC3D35" w:rsidRDefault="00EC3D35">
      <w:r>
        <w:separator/>
      </w:r>
    </w:p>
  </w:footnote>
  <w:footnote w:type="continuationSeparator" w:id="0">
    <w:p w14:paraId="5FAE8D83" w14:textId="77777777" w:rsidR="00EC3D35" w:rsidRDefault="00EC3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361"/>
    <w:multiLevelType w:val="hybridMultilevel"/>
    <w:tmpl w:val="3B3A73CC"/>
    <w:lvl w:ilvl="0" w:tplc="0A360A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309E3"/>
    <w:rsid w:val="000338FB"/>
    <w:rsid w:val="00042155"/>
    <w:rsid w:val="00051A68"/>
    <w:rsid w:val="00064020"/>
    <w:rsid w:val="000811C0"/>
    <w:rsid w:val="00093F31"/>
    <w:rsid w:val="000B4A59"/>
    <w:rsid w:val="000C0388"/>
    <w:rsid w:val="000F04FC"/>
    <w:rsid w:val="001156A1"/>
    <w:rsid w:val="001171F4"/>
    <w:rsid w:val="00121970"/>
    <w:rsid w:val="00125B9F"/>
    <w:rsid w:val="001615F4"/>
    <w:rsid w:val="00164B65"/>
    <w:rsid w:val="001965ED"/>
    <w:rsid w:val="001C13D6"/>
    <w:rsid w:val="001D1958"/>
    <w:rsid w:val="001D59CB"/>
    <w:rsid w:val="001E49FD"/>
    <w:rsid w:val="0020096D"/>
    <w:rsid w:val="00205D9F"/>
    <w:rsid w:val="00207C0A"/>
    <w:rsid w:val="002339C6"/>
    <w:rsid w:val="002437EE"/>
    <w:rsid w:val="002547CE"/>
    <w:rsid w:val="002644D5"/>
    <w:rsid w:val="002A2EAB"/>
    <w:rsid w:val="002A5C23"/>
    <w:rsid w:val="002B1BC7"/>
    <w:rsid w:val="00304013"/>
    <w:rsid w:val="00317DFB"/>
    <w:rsid w:val="00325827"/>
    <w:rsid w:val="00386D5F"/>
    <w:rsid w:val="003A5C09"/>
    <w:rsid w:val="003A629C"/>
    <w:rsid w:val="003B4AED"/>
    <w:rsid w:val="003C4FC8"/>
    <w:rsid w:val="003D0543"/>
    <w:rsid w:val="003D3D61"/>
    <w:rsid w:val="003E6AA4"/>
    <w:rsid w:val="003E7203"/>
    <w:rsid w:val="00415509"/>
    <w:rsid w:val="0041627E"/>
    <w:rsid w:val="00423FEF"/>
    <w:rsid w:val="0043618A"/>
    <w:rsid w:val="00450F9E"/>
    <w:rsid w:val="00460F4E"/>
    <w:rsid w:val="00466150"/>
    <w:rsid w:val="00471046"/>
    <w:rsid w:val="004F05D6"/>
    <w:rsid w:val="004F2272"/>
    <w:rsid w:val="005074F8"/>
    <w:rsid w:val="00517F21"/>
    <w:rsid w:val="00523514"/>
    <w:rsid w:val="00530F2B"/>
    <w:rsid w:val="00576A3D"/>
    <w:rsid w:val="005C3CE0"/>
    <w:rsid w:val="005E1FE4"/>
    <w:rsid w:val="00603298"/>
    <w:rsid w:val="00621224"/>
    <w:rsid w:val="00665D43"/>
    <w:rsid w:val="00677A6A"/>
    <w:rsid w:val="006A782B"/>
    <w:rsid w:val="006B503A"/>
    <w:rsid w:val="006B682B"/>
    <w:rsid w:val="006E0E0E"/>
    <w:rsid w:val="00713477"/>
    <w:rsid w:val="00734E17"/>
    <w:rsid w:val="007A6EC8"/>
    <w:rsid w:val="007B1F7B"/>
    <w:rsid w:val="00811445"/>
    <w:rsid w:val="00821128"/>
    <w:rsid w:val="00821334"/>
    <w:rsid w:val="008278DD"/>
    <w:rsid w:val="00830F98"/>
    <w:rsid w:val="008877E7"/>
    <w:rsid w:val="008912B4"/>
    <w:rsid w:val="008A062D"/>
    <w:rsid w:val="008D1F57"/>
    <w:rsid w:val="00953630"/>
    <w:rsid w:val="00982C69"/>
    <w:rsid w:val="00995CE5"/>
    <w:rsid w:val="00996BF9"/>
    <w:rsid w:val="009A730F"/>
    <w:rsid w:val="009B0E80"/>
    <w:rsid w:val="009C49C6"/>
    <w:rsid w:val="009D7FCA"/>
    <w:rsid w:val="009E67B2"/>
    <w:rsid w:val="009E7A86"/>
    <w:rsid w:val="00A1614F"/>
    <w:rsid w:val="00A26143"/>
    <w:rsid w:val="00A3689B"/>
    <w:rsid w:val="00A5425F"/>
    <w:rsid w:val="00AB3320"/>
    <w:rsid w:val="00AF623A"/>
    <w:rsid w:val="00B128EA"/>
    <w:rsid w:val="00B12E61"/>
    <w:rsid w:val="00B173B9"/>
    <w:rsid w:val="00B405FE"/>
    <w:rsid w:val="00B61AB4"/>
    <w:rsid w:val="00B62F45"/>
    <w:rsid w:val="00B871FC"/>
    <w:rsid w:val="00B91D82"/>
    <w:rsid w:val="00B96227"/>
    <w:rsid w:val="00BC71C0"/>
    <w:rsid w:val="00BE04C5"/>
    <w:rsid w:val="00BE3F29"/>
    <w:rsid w:val="00BF2660"/>
    <w:rsid w:val="00BF5BF4"/>
    <w:rsid w:val="00C16B2A"/>
    <w:rsid w:val="00C37582"/>
    <w:rsid w:val="00C61BF0"/>
    <w:rsid w:val="00C665D2"/>
    <w:rsid w:val="00C82048"/>
    <w:rsid w:val="00CC6B74"/>
    <w:rsid w:val="00CF4593"/>
    <w:rsid w:val="00CF67B3"/>
    <w:rsid w:val="00D14750"/>
    <w:rsid w:val="00D16F14"/>
    <w:rsid w:val="00D20CA1"/>
    <w:rsid w:val="00D56D04"/>
    <w:rsid w:val="00D674D5"/>
    <w:rsid w:val="00D702E6"/>
    <w:rsid w:val="00DA0BB2"/>
    <w:rsid w:val="00DC412D"/>
    <w:rsid w:val="00E14B41"/>
    <w:rsid w:val="00E37450"/>
    <w:rsid w:val="00E6444B"/>
    <w:rsid w:val="00E728B8"/>
    <w:rsid w:val="00E74E02"/>
    <w:rsid w:val="00E8071F"/>
    <w:rsid w:val="00E8092D"/>
    <w:rsid w:val="00E90229"/>
    <w:rsid w:val="00EA55E6"/>
    <w:rsid w:val="00EB694F"/>
    <w:rsid w:val="00EC3D35"/>
    <w:rsid w:val="00ED011F"/>
    <w:rsid w:val="00ED76EB"/>
    <w:rsid w:val="00EE78D8"/>
    <w:rsid w:val="00EF30BA"/>
    <w:rsid w:val="00F131FD"/>
    <w:rsid w:val="00F304BF"/>
    <w:rsid w:val="00F30F92"/>
    <w:rsid w:val="00F72FD0"/>
    <w:rsid w:val="00FB229D"/>
    <w:rsid w:val="00FB6B14"/>
    <w:rsid w:val="00FD4730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A7B2B"/>
  <w15:docId w15:val="{A000DADE-EAC7-3C45-B430-40A5AC3D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D14750"/>
    <w:rPr>
      <w:color w:val="0000FF"/>
      <w:u w:val="single"/>
    </w:rPr>
  </w:style>
  <w:style w:type="character" w:styleId="FollowedHyperlink">
    <w:name w:val="FollowedHyperlink"/>
    <w:rsid w:val="00B871FC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EE78D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78D8"/>
    <w:rPr>
      <w:b/>
    </w:rPr>
  </w:style>
  <w:style w:type="character" w:styleId="FootnoteReference">
    <w:name w:val="footnote reference"/>
    <w:basedOn w:val="DefaultParagraphFont"/>
    <w:semiHidden/>
    <w:unhideWhenUsed/>
    <w:rsid w:val="00EE78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93EB2-51F1-4110-B352-4CE0A5A3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1319</CharactersWithSpaces>
  <SharedDoc>false</SharedDoc>
  <HLinks>
    <vt:vector size="18" baseType="variant">
      <vt:variant>
        <vt:i4>2490487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4784250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http://www.acq.osd.mil/dpap/dars/dfars/html/current/239_73.htm</vt:lpwstr>
      </vt:variant>
      <vt:variant>
        <vt:lpwstr/>
      </vt:variant>
      <vt:variant>
        <vt:i4>4194325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creator>OUSD(A&amp;T)</dc:creator>
  <cp:lastModifiedBy>Johnson, Jennifer D CIV OSD OUSD A-S (USA)</cp:lastModifiedBy>
  <cp:revision>3</cp:revision>
  <cp:lastPrinted>2011-03-07T18:18:00Z</cp:lastPrinted>
  <dcterms:created xsi:type="dcterms:W3CDTF">2021-11-19T16:20:00Z</dcterms:created>
  <dcterms:modified xsi:type="dcterms:W3CDTF">2021-11-19T17:13:00Z</dcterms:modified>
</cp:coreProperties>
</file>