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A930E" w14:textId="05E4BEF0" w:rsidR="00655A71" w:rsidRPr="00C95BFA" w:rsidRDefault="00655A71" w:rsidP="000E46FA">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bookmarkStart w:id="0" w:name="BM201_2"/>
      <w:bookmarkStart w:id="1" w:name="201.170"/>
      <w:bookmarkStart w:id="2" w:name="_GoBack"/>
      <w:bookmarkEnd w:id="2"/>
      <w:r>
        <w:rPr>
          <w:rFonts w:ascii="Century Schoolbook" w:hAnsi="Century Schoolbook" w:cs="Courier New"/>
          <w:b/>
          <w:bCs/>
          <w:sz w:val="24"/>
          <w:szCs w:val="24"/>
        </w:rPr>
        <w:t>D</w:t>
      </w:r>
      <w:r w:rsidRPr="00C95BFA">
        <w:rPr>
          <w:rFonts w:ascii="Century Schoolbook" w:hAnsi="Century Schoolbook" w:cs="Courier New"/>
          <w:b/>
          <w:bCs/>
          <w:sz w:val="24"/>
          <w:szCs w:val="24"/>
        </w:rPr>
        <w:t>FAR</w:t>
      </w:r>
      <w:r>
        <w:rPr>
          <w:rFonts w:ascii="Century Schoolbook" w:hAnsi="Century Schoolbook" w:cs="Courier New"/>
          <w:b/>
          <w:bCs/>
          <w:sz w:val="24"/>
          <w:szCs w:val="24"/>
        </w:rPr>
        <w:t>S</w:t>
      </w:r>
      <w:r w:rsidRPr="00C95BFA">
        <w:rPr>
          <w:rFonts w:ascii="Century Schoolbook" w:hAnsi="Century Schoolbook" w:cs="Courier New"/>
          <w:b/>
          <w:bCs/>
          <w:sz w:val="24"/>
          <w:szCs w:val="24"/>
        </w:rPr>
        <w:t xml:space="preserve"> Case 20</w:t>
      </w:r>
      <w:r w:rsidR="0012509A">
        <w:rPr>
          <w:rFonts w:ascii="Century Schoolbook" w:hAnsi="Century Schoolbook" w:cs="Courier New"/>
          <w:b/>
          <w:bCs/>
          <w:sz w:val="24"/>
          <w:szCs w:val="24"/>
        </w:rPr>
        <w:t>22</w:t>
      </w:r>
      <w:r w:rsidR="00566B2D">
        <w:rPr>
          <w:rFonts w:ascii="Century Schoolbook" w:hAnsi="Century Schoolbook" w:cs="Courier New"/>
          <w:b/>
          <w:bCs/>
          <w:sz w:val="24"/>
          <w:szCs w:val="24"/>
        </w:rPr>
        <w:t>-</w:t>
      </w:r>
      <w:r>
        <w:rPr>
          <w:rFonts w:ascii="Century Schoolbook" w:hAnsi="Century Schoolbook" w:cs="Courier New"/>
          <w:b/>
          <w:bCs/>
          <w:sz w:val="24"/>
          <w:szCs w:val="24"/>
        </w:rPr>
        <w:t>D</w:t>
      </w:r>
      <w:r w:rsidRPr="00C95BFA">
        <w:rPr>
          <w:rFonts w:ascii="Century Schoolbook" w:hAnsi="Century Schoolbook" w:cs="Courier New"/>
          <w:b/>
          <w:bCs/>
          <w:sz w:val="24"/>
          <w:szCs w:val="24"/>
        </w:rPr>
        <w:t>0</w:t>
      </w:r>
      <w:r w:rsidR="00566B2D">
        <w:rPr>
          <w:rFonts w:ascii="Century Schoolbook" w:hAnsi="Century Schoolbook" w:cs="Courier New"/>
          <w:b/>
          <w:bCs/>
          <w:sz w:val="24"/>
          <w:szCs w:val="24"/>
        </w:rPr>
        <w:t>01</w:t>
      </w:r>
    </w:p>
    <w:p w14:paraId="6E6D8674" w14:textId="77777777" w:rsidR="000E46FA" w:rsidRDefault="00566B2D">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sz w:val="24"/>
          <w:szCs w:val="24"/>
          <w:shd w:val="clear" w:color="auto" w:fill="FFFFFF"/>
        </w:rPr>
      </w:pPr>
      <w:r>
        <w:rPr>
          <w:rFonts w:ascii="Century Schoolbook" w:hAnsi="Century Schoolbook" w:cs="Courier New"/>
          <w:b/>
          <w:sz w:val="24"/>
          <w:szCs w:val="24"/>
          <w:shd w:val="clear" w:color="auto" w:fill="FFFFFF"/>
        </w:rPr>
        <w:t xml:space="preserve">Repeal of DFARS </w:t>
      </w:r>
      <w:r w:rsidR="00097D97">
        <w:rPr>
          <w:rFonts w:ascii="Century Schoolbook" w:hAnsi="Century Schoolbook" w:cs="Courier New"/>
          <w:b/>
          <w:sz w:val="24"/>
          <w:szCs w:val="24"/>
          <w:shd w:val="clear" w:color="auto" w:fill="FFFFFF"/>
        </w:rPr>
        <w:t>Provision</w:t>
      </w:r>
      <w:r>
        <w:rPr>
          <w:rFonts w:ascii="Century Schoolbook" w:hAnsi="Century Schoolbook" w:cs="Courier New"/>
          <w:b/>
          <w:sz w:val="24"/>
          <w:szCs w:val="24"/>
          <w:shd w:val="clear" w:color="auto" w:fill="FFFFFF"/>
        </w:rPr>
        <w:t xml:space="preserve"> </w:t>
      </w:r>
    </w:p>
    <w:p w14:paraId="411826AD" w14:textId="388C0376" w:rsidR="00655A71" w:rsidRPr="00C95BFA" w:rsidRDefault="00566B2D">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sz w:val="24"/>
          <w:szCs w:val="24"/>
          <w:shd w:val="clear" w:color="auto" w:fill="FFFFFF"/>
        </w:rPr>
      </w:pPr>
      <w:r>
        <w:rPr>
          <w:rFonts w:ascii="Century Schoolbook" w:hAnsi="Century Schoolbook" w:cs="Courier New"/>
          <w:b/>
          <w:sz w:val="24"/>
          <w:szCs w:val="24"/>
          <w:shd w:val="clear" w:color="auto" w:fill="FFFFFF"/>
        </w:rPr>
        <w:t>“Payment in Local Currency (Afghanistan)”</w:t>
      </w:r>
    </w:p>
    <w:p w14:paraId="5690833A" w14:textId="17F44AE8" w:rsidR="00655A71" w:rsidRDefault="00905726">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r>
        <w:rPr>
          <w:rFonts w:ascii="Century Schoolbook" w:hAnsi="Century Schoolbook" w:cs="Courier New"/>
          <w:b/>
          <w:bCs/>
          <w:sz w:val="24"/>
          <w:szCs w:val="24"/>
        </w:rPr>
        <w:t>Final</w:t>
      </w:r>
      <w:r w:rsidRPr="0000373F">
        <w:rPr>
          <w:rFonts w:ascii="Century Schoolbook" w:hAnsi="Century Schoolbook" w:cs="Courier New"/>
          <w:b/>
          <w:bCs/>
          <w:sz w:val="24"/>
          <w:szCs w:val="24"/>
        </w:rPr>
        <w:t xml:space="preserve"> </w:t>
      </w:r>
      <w:r w:rsidR="00655A71" w:rsidRPr="0000373F">
        <w:rPr>
          <w:rFonts w:ascii="Century Schoolbook" w:hAnsi="Century Schoolbook" w:cs="Courier New"/>
          <w:b/>
          <w:bCs/>
          <w:sz w:val="24"/>
          <w:szCs w:val="24"/>
        </w:rPr>
        <w:t>Rule</w:t>
      </w:r>
    </w:p>
    <w:p w14:paraId="077CE168" w14:textId="5CE01325" w:rsidR="00580676" w:rsidRDefault="00580676">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p>
    <w:p w14:paraId="1B4B4D68" w14:textId="77777777" w:rsidR="00580676" w:rsidRPr="00C95BFA" w:rsidRDefault="00580676">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p>
    <w:p w14:paraId="367C66C9" w14:textId="648E7D0F" w:rsidR="00BE2F26" w:rsidRPr="002A6EB8" w:rsidRDefault="005616C7" w:rsidP="002A6EB8">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sz w:val="24"/>
          <w:szCs w:val="24"/>
        </w:rPr>
      </w:pPr>
      <w:r>
        <w:rPr>
          <w:rFonts w:ascii="Century Schoolbook" w:hAnsi="Century Schoolbook" w:cs="Courier New"/>
          <w:b/>
          <w:sz w:val="24"/>
          <w:szCs w:val="24"/>
        </w:rPr>
        <w:t>PART 232</w:t>
      </w:r>
      <w:r w:rsidR="00BE2F26" w:rsidRPr="002A6EB8">
        <w:rPr>
          <w:rFonts w:ascii="Century Schoolbook" w:hAnsi="Century Schoolbook" w:cs="Courier New"/>
          <w:b/>
          <w:sz w:val="24"/>
          <w:szCs w:val="24"/>
        </w:rPr>
        <w:t>—</w:t>
      </w:r>
      <w:r>
        <w:rPr>
          <w:rFonts w:ascii="Century Schoolbook" w:hAnsi="Century Schoolbook" w:cs="Courier New"/>
          <w:b/>
          <w:sz w:val="24"/>
          <w:szCs w:val="24"/>
        </w:rPr>
        <w:t>CONTRACT FINANCING</w:t>
      </w:r>
    </w:p>
    <w:p w14:paraId="5F5BD0DA" w14:textId="60681808" w:rsidR="00BE2F26" w:rsidRDefault="00BE2F26">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Cs/>
          <w:sz w:val="24"/>
          <w:szCs w:val="24"/>
        </w:rPr>
      </w:pPr>
    </w:p>
    <w:p w14:paraId="146EC6C5" w14:textId="313C18DE" w:rsidR="00BE2F26" w:rsidRPr="005616C7" w:rsidRDefault="00BE2F26">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r w:rsidRPr="005616C7">
        <w:rPr>
          <w:rFonts w:ascii="Century Schoolbook" w:hAnsi="Century Schoolbook" w:cs="Courier New"/>
          <w:b/>
          <w:bCs/>
          <w:sz w:val="24"/>
          <w:szCs w:val="24"/>
        </w:rPr>
        <w:t>* * * * *</w:t>
      </w:r>
    </w:p>
    <w:p w14:paraId="0AAD32DB" w14:textId="77777777" w:rsidR="00750ED5" w:rsidRDefault="00750ED5">
      <w:pPr>
        <w:pStyle w:val="DFARS"/>
        <w:tabs>
          <w:tab w:val="clear" w:pos="810"/>
          <w:tab w:val="left" w:pos="806"/>
        </w:tabs>
        <w:rPr>
          <w:rFonts w:cs="Arial"/>
          <w:b/>
          <w:szCs w:val="24"/>
        </w:rPr>
      </w:pPr>
    </w:p>
    <w:p w14:paraId="3184B7BA" w14:textId="44F0A503" w:rsidR="00D213E4" w:rsidRDefault="00BE2F26">
      <w:pPr>
        <w:pStyle w:val="DFARS"/>
        <w:tabs>
          <w:tab w:val="clear" w:pos="810"/>
          <w:tab w:val="left" w:pos="806"/>
        </w:tabs>
        <w:jc w:val="center"/>
        <w:rPr>
          <w:rFonts w:cs="Arial"/>
          <w:b/>
          <w:strike/>
          <w:szCs w:val="24"/>
        </w:rPr>
      </w:pPr>
      <w:r>
        <w:rPr>
          <w:rFonts w:cs="Arial"/>
          <w:b/>
          <w:szCs w:val="24"/>
        </w:rPr>
        <w:t xml:space="preserve">SUBPART </w:t>
      </w:r>
      <w:r w:rsidR="005616C7">
        <w:rPr>
          <w:rFonts w:cs="Arial"/>
          <w:b/>
          <w:szCs w:val="24"/>
        </w:rPr>
        <w:t>232.72</w:t>
      </w:r>
      <w:r w:rsidR="00D213E4" w:rsidRPr="00D213E4">
        <w:rPr>
          <w:rFonts w:cs="Arial"/>
          <w:b/>
          <w:szCs w:val="24"/>
        </w:rPr>
        <w:t>—</w:t>
      </w:r>
      <w:r w:rsidR="001E7243">
        <w:rPr>
          <w:rFonts w:cs="Arial"/>
          <w:b/>
          <w:szCs w:val="24"/>
        </w:rPr>
        <w:t>[</w:t>
      </w:r>
      <w:r w:rsidR="00CE5659">
        <w:rPr>
          <w:rFonts w:cs="Arial"/>
          <w:b/>
          <w:szCs w:val="24"/>
        </w:rPr>
        <w:t>Reserved</w:t>
      </w:r>
      <w:r w:rsidR="001E7243">
        <w:rPr>
          <w:rFonts w:cs="Arial"/>
          <w:b/>
          <w:szCs w:val="24"/>
        </w:rPr>
        <w:t>]</w:t>
      </w:r>
      <w:r w:rsidR="00F01A70" w:rsidRPr="00CE5659">
        <w:rPr>
          <w:rFonts w:cs="Arial"/>
          <w:b/>
          <w:strike/>
          <w:szCs w:val="24"/>
        </w:rPr>
        <w:t>PAYMENT IN LOCAL CURRENCY (AFGHANISTAN)</w:t>
      </w:r>
    </w:p>
    <w:p w14:paraId="1F6A6A61" w14:textId="77777777" w:rsidR="00580676" w:rsidRPr="00CE5659" w:rsidRDefault="00580676">
      <w:pPr>
        <w:pStyle w:val="DFARS"/>
        <w:tabs>
          <w:tab w:val="clear" w:pos="810"/>
          <w:tab w:val="left" w:pos="806"/>
        </w:tabs>
        <w:jc w:val="center"/>
        <w:rPr>
          <w:rFonts w:cs="Arial"/>
          <w:b/>
          <w:strike/>
          <w:szCs w:val="24"/>
        </w:rPr>
      </w:pPr>
    </w:p>
    <w:bookmarkEnd w:id="0"/>
    <w:bookmarkEnd w:id="1"/>
    <w:p w14:paraId="05C88707" w14:textId="77777777" w:rsidR="00526B5A" w:rsidRPr="00CE5659" w:rsidRDefault="00526B5A" w:rsidP="008A4CAA">
      <w:pPr>
        <w:pStyle w:val="DFARS"/>
        <w:tabs>
          <w:tab w:val="clear" w:pos="360"/>
          <w:tab w:val="clear" w:pos="810"/>
          <w:tab w:val="clear" w:pos="1210"/>
          <w:tab w:val="clear" w:pos="1656"/>
          <w:tab w:val="clear" w:pos="2131"/>
          <w:tab w:val="clear" w:pos="2520"/>
        </w:tabs>
        <w:rPr>
          <w:b/>
          <w:strike/>
          <w:szCs w:val="24"/>
        </w:rPr>
      </w:pPr>
      <w:proofErr w:type="gramStart"/>
      <w:r w:rsidRPr="00CE5659">
        <w:rPr>
          <w:b/>
          <w:strike/>
          <w:szCs w:val="24"/>
        </w:rPr>
        <w:t>232.7200  Scope</w:t>
      </w:r>
      <w:proofErr w:type="gramEnd"/>
      <w:r w:rsidRPr="00CE5659">
        <w:rPr>
          <w:b/>
          <w:strike/>
          <w:szCs w:val="24"/>
        </w:rPr>
        <w:t xml:space="preserve"> of subpart.</w:t>
      </w:r>
    </w:p>
    <w:p w14:paraId="78F0D191" w14:textId="77777777" w:rsidR="00526B5A" w:rsidRPr="00CE5659" w:rsidRDefault="00526B5A" w:rsidP="008A4CAA">
      <w:pPr>
        <w:pStyle w:val="DFARS"/>
        <w:tabs>
          <w:tab w:val="clear" w:pos="360"/>
          <w:tab w:val="clear" w:pos="810"/>
          <w:tab w:val="clear" w:pos="1210"/>
          <w:tab w:val="clear" w:pos="1656"/>
          <w:tab w:val="clear" w:pos="2131"/>
          <w:tab w:val="clear" w:pos="2520"/>
        </w:tabs>
        <w:ind w:right="-720"/>
        <w:rPr>
          <w:strike/>
          <w:szCs w:val="24"/>
        </w:rPr>
      </w:pPr>
      <w:r w:rsidRPr="00CE5659">
        <w:rPr>
          <w:strike/>
          <w:szCs w:val="24"/>
        </w:rPr>
        <w:t>This subpart prescribes policies and procedures concerning the payment of contracts for performance in Afghanistan.</w:t>
      </w:r>
    </w:p>
    <w:p w14:paraId="24F1A73D" w14:textId="59858051" w:rsidR="00DC0D2C" w:rsidRPr="00CE5659" w:rsidRDefault="00DC0D2C" w:rsidP="00D5622A">
      <w:pPr>
        <w:pStyle w:val="DFARS"/>
        <w:tabs>
          <w:tab w:val="clear" w:pos="360"/>
          <w:tab w:val="clear" w:pos="810"/>
          <w:tab w:val="clear" w:pos="1210"/>
          <w:tab w:val="clear" w:pos="1656"/>
          <w:tab w:val="clear" w:pos="2131"/>
          <w:tab w:val="clear" w:pos="2520"/>
        </w:tabs>
        <w:rPr>
          <w:b/>
          <w:strike/>
          <w:szCs w:val="24"/>
        </w:rPr>
      </w:pPr>
    </w:p>
    <w:p w14:paraId="199EEDD7" w14:textId="77777777" w:rsidR="00526B5A" w:rsidRPr="00CE5659" w:rsidRDefault="00526B5A" w:rsidP="00D5622A">
      <w:pPr>
        <w:pStyle w:val="DFARS"/>
        <w:tabs>
          <w:tab w:val="clear" w:pos="360"/>
          <w:tab w:val="clear" w:pos="810"/>
          <w:tab w:val="clear" w:pos="1210"/>
          <w:tab w:val="clear" w:pos="1656"/>
          <w:tab w:val="clear" w:pos="2131"/>
          <w:tab w:val="clear" w:pos="2520"/>
        </w:tabs>
        <w:rPr>
          <w:b/>
          <w:strike/>
          <w:szCs w:val="24"/>
        </w:rPr>
      </w:pPr>
      <w:proofErr w:type="gramStart"/>
      <w:r w:rsidRPr="00CE5659">
        <w:rPr>
          <w:b/>
          <w:strike/>
          <w:szCs w:val="24"/>
        </w:rPr>
        <w:t>232.7201  Policy</w:t>
      </w:r>
      <w:proofErr w:type="gramEnd"/>
      <w:r w:rsidRPr="00CE5659">
        <w:rPr>
          <w:b/>
          <w:strike/>
          <w:szCs w:val="24"/>
        </w:rPr>
        <w:t xml:space="preserve"> and procedures.</w:t>
      </w:r>
    </w:p>
    <w:p w14:paraId="01171DE9" w14:textId="77777777" w:rsidR="00526B5A" w:rsidRPr="00CE5659" w:rsidRDefault="00526B5A" w:rsidP="00D5622A">
      <w:pPr>
        <w:pStyle w:val="NoSpacing1"/>
        <w:spacing w:line="240" w:lineRule="exact"/>
        <w:rPr>
          <w:rFonts w:ascii="Century Schoolbook" w:hAnsi="Century Schoolbook"/>
          <w:strike/>
          <w:sz w:val="24"/>
          <w:szCs w:val="24"/>
        </w:rPr>
      </w:pPr>
      <w:r w:rsidRPr="00CE5659">
        <w:rPr>
          <w:rFonts w:ascii="Century Schoolbook" w:hAnsi="Century Schoolbook"/>
          <w:strike/>
          <w:sz w:val="24"/>
          <w:szCs w:val="24"/>
        </w:rP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w:p w14:paraId="6EE32E16" w14:textId="77777777" w:rsidR="00526B5A" w:rsidRPr="00CE5659" w:rsidRDefault="00526B5A" w:rsidP="00D5622A">
      <w:pPr>
        <w:pStyle w:val="NoSpacing1"/>
        <w:spacing w:line="240" w:lineRule="exact"/>
        <w:rPr>
          <w:rFonts w:ascii="Century Schoolbook" w:hAnsi="Century Schoolbook"/>
          <w:strike/>
          <w:sz w:val="24"/>
          <w:szCs w:val="24"/>
        </w:rPr>
      </w:pPr>
    </w:p>
    <w:p w14:paraId="1C6BF5E9" w14:textId="77777777" w:rsidR="00526B5A" w:rsidRPr="00CE5659" w:rsidRDefault="00526B5A" w:rsidP="00D5622A">
      <w:pPr>
        <w:pStyle w:val="NoSpacing1"/>
        <w:spacing w:line="240" w:lineRule="exact"/>
        <w:rPr>
          <w:rFonts w:ascii="Century Schoolbook" w:hAnsi="Century Schoolbook"/>
          <w:b/>
          <w:strike/>
          <w:sz w:val="24"/>
          <w:szCs w:val="24"/>
        </w:rPr>
      </w:pPr>
      <w:proofErr w:type="gramStart"/>
      <w:r w:rsidRPr="00CE5659">
        <w:rPr>
          <w:rFonts w:ascii="Century Schoolbook" w:hAnsi="Century Schoolbook"/>
          <w:b/>
          <w:strike/>
          <w:sz w:val="24"/>
          <w:szCs w:val="24"/>
        </w:rPr>
        <w:t>232.7202  Solicitation</w:t>
      </w:r>
      <w:proofErr w:type="gramEnd"/>
      <w:r w:rsidRPr="00CE5659">
        <w:rPr>
          <w:rFonts w:ascii="Century Schoolbook" w:hAnsi="Century Schoolbook"/>
          <w:b/>
          <w:strike/>
          <w:sz w:val="24"/>
          <w:szCs w:val="24"/>
        </w:rPr>
        <w:t xml:space="preserve"> provision.</w:t>
      </w:r>
    </w:p>
    <w:p w14:paraId="74C5AAA8" w14:textId="77777777" w:rsidR="00526B5A" w:rsidRPr="00CE5659" w:rsidRDefault="00526B5A" w:rsidP="00D5622A">
      <w:pPr>
        <w:pStyle w:val="NoSpacing1"/>
        <w:spacing w:line="240" w:lineRule="exact"/>
        <w:rPr>
          <w:rFonts w:ascii="Century Schoolbook" w:hAnsi="Century Schoolbook"/>
          <w:strike/>
          <w:sz w:val="24"/>
          <w:szCs w:val="24"/>
        </w:rPr>
      </w:pPr>
      <w:r w:rsidRPr="00CE5659">
        <w:rPr>
          <w:rFonts w:ascii="Century Schoolbook" w:hAnsi="Century Schoolbook"/>
          <w:strike/>
          <w:sz w:val="24"/>
          <w:szCs w:val="24"/>
        </w:rPr>
        <w:t xml:space="preserve">Use the provision at </w:t>
      </w:r>
      <w:hyperlink r:id="rId11" w:anchor="252.232-7014" w:history="1">
        <w:r w:rsidRPr="00CE5659">
          <w:rPr>
            <w:rStyle w:val="Hyperlink"/>
            <w:rFonts w:ascii="Century Schoolbook" w:hAnsi="Century Schoolbook"/>
            <w:strike/>
            <w:sz w:val="24"/>
            <w:szCs w:val="24"/>
          </w:rPr>
          <w:t>252.232-7014</w:t>
        </w:r>
      </w:hyperlink>
      <w:r w:rsidRPr="00CE5659">
        <w:rPr>
          <w:rFonts w:ascii="Century Schoolbook" w:hAnsi="Century Schoolbook"/>
          <w:strike/>
          <w:sz w:val="24"/>
          <w:szCs w:val="24"/>
        </w:rPr>
        <w:t>, Notification of Payment in Local Currency (Afghanistan), in all solicitations, including solicitations using FAR part 12 procedures for the acquisition of commercial items, for performance in Afghanistan.</w:t>
      </w:r>
    </w:p>
    <w:p w14:paraId="5E30E604" w14:textId="353752EE" w:rsidR="00526B5A" w:rsidRDefault="00526B5A" w:rsidP="00526B5A">
      <w:pPr>
        <w:pStyle w:val="DFARS"/>
        <w:tabs>
          <w:tab w:val="clear" w:pos="360"/>
          <w:tab w:val="clear" w:pos="810"/>
          <w:tab w:val="clear" w:pos="1210"/>
          <w:tab w:val="clear" w:pos="1656"/>
          <w:tab w:val="clear" w:pos="2131"/>
          <w:tab w:val="clear" w:pos="2520"/>
        </w:tabs>
      </w:pPr>
    </w:p>
    <w:p w14:paraId="175C8F83" w14:textId="77777777" w:rsidR="00AC1597" w:rsidRPr="005616C7" w:rsidRDefault="00AC1597" w:rsidP="00AC159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r w:rsidRPr="005616C7">
        <w:rPr>
          <w:rFonts w:ascii="Century Schoolbook" w:hAnsi="Century Schoolbook" w:cs="Courier New"/>
          <w:b/>
          <w:bCs/>
          <w:sz w:val="24"/>
          <w:szCs w:val="24"/>
        </w:rPr>
        <w:t>* * * * *</w:t>
      </w:r>
    </w:p>
    <w:p w14:paraId="26755472" w14:textId="77777777" w:rsidR="00AC1597" w:rsidRPr="00682833" w:rsidRDefault="00AC1597" w:rsidP="00526B5A">
      <w:pPr>
        <w:pStyle w:val="DFARS"/>
        <w:tabs>
          <w:tab w:val="clear" w:pos="360"/>
          <w:tab w:val="clear" w:pos="810"/>
          <w:tab w:val="clear" w:pos="1210"/>
          <w:tab w:val="clear" w:pos="1656"/>
          <w:tab w:val="clear" w:pos="2131"/>
          <w:tab w:val="clear" w:pos="2520"/>
        </w:tabs>
      </w:pPr>
    </w:p>
    <w:p w14:paraId="564DCE8E" w14:textId="66F62590" w:rsidR="00526B5A" w:rsidRDefault="00AC1597" w:rsidP="00526B5A">
      <w:pPr>
        <w:pStyle w:val="PlainText"/>
        <w:tabs>
          <w:tab w:val="left" w:pos="360"/>
          <w:tab w:val="left" w:pos="806"/>
          <w:tab w:val="left" w:pos="1210"/>
          <w:tab w:val="left" w:pos="1656"/>
          <w:tab w:val="left" w:pos="2131"/>
          <w:tab w:val="left" w:pos="2520"/>
        </w:tabs>
        <w:spacing w:line="240" w:lineRule="exact"/>
        <w:jc w:val="center"/>
        <w:rPr>
          <w:rFonts w:ascii="Century Schoolbook" w:hAnsi="Century Schoolbook" w:cs="Arial"/>
          <w:b/>
          <w:sz w:val="24"/>
          <w:szCs w:val="24"/>
        </w:rPr>
      </w:pPr>
      <w:r w:rsidRPr="00AC1597">
        <w:rPr>
          <w:rFonts w:ascii="Century Schoolbook" w:hAnsi="Century Schoolbook" w:cs="Courier New"/>
          <w:b/>
          <w:sz w:val="24"/>
          <w:szCs w:val="24"/>
        </w:rPr>
        <w:t>PART 252</w:t>
      </w:r>
      <w:r w:rsidRPr="00AC1597">
        <w:rPr>
          <w:rFonts w:ascii="Century Schoolbook" w:hAnsi="Century Schoolbook" w:cs="Arial"/>
          <w:b/>
          <w:sz w:val="24"/>
          <w:szCs w:val="24"/>
        </w:rPr>
        <w:t>—SOLICITATION PROVISIONS AND CONTRACT CLAUSES</w:t>
      </w:r>
    </w:p>
    <w:p w14:paraId="18FA977F" w14:textId="77777777" w:rsidR="00AC1597" w:rsidRDefault="00AC1597" w:rsidP="00AC159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p>
    <w:p w14:paraId="1C722242" w14:textId="65EEE601" w:rsidR="00AC1597" w:rsidRPr="005616C7" w:rsidRDefault="00AC1597" w:rsidP="00AC1597">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r w:rsidRPr="005616C7">
        <w:rPr>
          <w:rFonts w:ascii="Century Schoolbook" w:hAnsi="Century Schoolbook" w:cs="Courier New"/>
          <w:b/>
          <w:bCs/>
          <w:sz w:val="24"/>
          <w:szCs w:val="24"/>
        </w:rPr>
        <w:t>* * * * *</w:t>
      </w:r>
    </w:p>
    <w:p w14:paraId="6177FA82" w14:textId="707904B2" w:rsidR="00AC1597" w:rsidRDefault="00AC1597" w:rsidP="00AC1597">
      <w:pPr>
        <w:pStyle w:val="PlainText"/>
        <w:tabs>
          <w:tab w:val="left" w:pos="360"/>
          <w:tab w:val="left" w:pos="806"/>
          <w:tab w:val="left" w:pos="1210"/>
          <w:tab w:val="left" w:pos="1656"/>
          <w:tab w:val="left" w:pos="2131"/>
          <w:tab w:val="left" w:pos="2520"/>
        </w:tabs>
        <w:spacing w:line="240" w:lineRule="exact"/>
        <w:rPr>
          <w:rFonts w:ascii="Century Schoolbook" w:hAnsi="Century Schoolbook" w:cs="Arial"/>
          <w:b/>
          <w:sz w:val="24"/>
          <w:szCs w:val="24"/>
        </w:rPr>
      </w:pPr>
    </w:p>
    <w:p w14:paraId="6DB60EE2" w14:textId="726F0768" w:rsidR="00AC1597" w:rsidRDefault="00AC1597" w:rsidP="00AC1597">
      <w:pPr>
        <w:pStyle w:val="PlainText"/>
        <w:tabs>
          <w:tab w:val="left" w:pos="360"/>
          <w:tab w:val="left" w:pos="806"/>
          <w:tab w:val="left" w:pos="1210"/>
          <w:tab w:val="left" w:pos="1656"/>
          <w:tab w:val="left" w:pos="2131"/>
          <w:tab w:val="left" w:pos="2520"/>
        </w:tabs>
        <w:spacing w:line="240" w:lineRule="exact"/>
        <w:jc w:val="center"/>
        <w:rPr>
          <w:rFonts w:ascii="Century Schoolbook" w:hAnsi="Century Schoolbook" w:cs="Arial"/>
          <w:b/>
          <w:sz w:val="24"/>
          <w:szCs w:val="24"/>
        </w:rPr>
      </w:pPr>
      <w:r>
        <w:rPr>
          <w:rFonts w:ascii="Century Schoolbook" w:hAnsi="Century Schoolbook" w:cs="Arial"/>
          <w:b/>
          <w:sz w:val="24"/>
          <w:szCs w:val="24"/>
        </w:rPr>
        <w:t>SUBPART 252.2</w:t>
      </w:r>
      <w:r w:rsidRPr="00AC1597">
        <w:rPr>
          <w:rFonts w:ascii="Century Schoolbook" w:hAnsi="Century Schoolbook" w:cs="Arial"/>
          <w:b/>
          <w:sz w:val="24"/>
          <w:szCs w:val="24"/>
        </w:rPr>
        <w:t>—</w:t>
      </w:r>
      <w:r w:rsidR="004E2349">
        <w:rPr>
          <w:rFonts w:ascii="Century Schoolbook" w:hAnsi="Century Schoolbook" w:cs="Arial"/>
          <w:b/>
          <w:sz w:val="24"/>
          <w:szCs w:val="24"/>
        </w:rPr>
        <w:t>TEXT OF PROVISIONS AND CONTRACT CLAUSES</w:t>
      </w:r>
    </w:p>
    <w:p w14:paraId="287C0CE8" w14:textId="37CC7D72" w:rsidR="004E2349" w:rsidRDefault="004E2349" w:rsidP="00AC1597">
      <w:pPr>
        <w:pStyle w:val="PlainText"/>
        <w:tabs>
          <w:tab w:val="left" w:pos="360"/>
          <w:tab w:val="left" w:pos="806"/>
          <w:tab w:val="left" w:pos="1210"/>
          <w:tab w:val="left" w:pos="1656"/>
          <w:tab w:val="left" w:pos="2131"/>
          <w:tab w:val="left" w:pos="2520"/>
        </w:tabs>
        <w:spacing w:line="240" w:lineRule="exact"/>
        <w:jc w:val="center"/>
        <w:rPr>
          <w:rFonts w:ascii="Century Schoolbook" w:hAnsi="Century Schoolbook" w:cs="Courier New"/>
          <w:b/>
          <w:sz w:val="24"/>
          <w:szCs w:val="24"/>
        </w:rPr>
      </w:pPr>
    </w:p>
    <w:p w14:paraId="71487B59" w14:textId="77777777" w:rsidR="004E2349" w:rsidRPr="005616C7" w:rsidRDefault="004E2349" w:rsidP="004E2349">
      <w:pPr>
        <w:tabs>
          <w:tab w:val="left" w:pos="360"/>
          <w:tab w:val="left" w:pos="806"/>
          <w:tab w:val="left" w:pos="1210"/>
          <w:tab w:val="left" w:pos="1656"/>
          <w:tab w:val="left" w:pos="2131"/>
          <w:tab w:val="left" w:pos="2520"/>
        </w:tabs>
        <w:spacing w:after="0" w:line="240" w:lineRule="exact"/>
        <w:outlineLvl w:val="3"/>
        <w:rPr>
          <w:rFonts w:ascii="Century Schoolbook" w:hAnsi="Century Schoolbook" w:cs="Courier New"/>
          <w:b/>
          <w:bCs/>
          <w:sz w:val="24"/>
          <w:szCs w:val="24"/>
        </w:rPr>
      </w:pPr>
      <w:r w:rsidRPr="005616C7">
        <w:rPr>
          <w:rFonts w:ascii="Century Schoolbook" w:hAnsi="Century Schoolbook" w:cs="Courier New"/>
          <w:b/>
          <w:bCs/>
          <w:sz w:val="24"/>
          <w:szCs w:val="24"/>
        </w:rPr>
        <w:t>* * * * *</w:t>
      </w:r>
    </w:p>
    <w:p w14:paraId="20E6A27F" w14:textId="77777777" w:rsidR="004E2349" w:rsidRDefault="004E2349" w:rsidP="004E2349">
      <w:pPr>
        <w:pStyle w:val="DFARS"/>
        <w:tabs>
          <w:tab w:val="clear" w:pos="810"/>
          <w:tab w:val="left" w:pos="806"/>
        </w:tabs>
        <w:rPr>
          <w:b/>
          <w:szCs w:val="24"/>
        </w:rPr>
      </w:pPr>
    </w:p>
    <w:p w14:paraId="6DF92438" w14:textId="07A39DF6" w:rsidR="004E2349" w:rsidRPr="00CE5659" w:rsidRDefault="004E2349" w:rsidP="004E2349">
      <w:pPr>
        <w:pStyle w:val="DFARS"/>
        <w:tabs>
          <w:tab w:val="clear" w:pos="810"/>
          <w:tab w:val="left" w:pos="806"/>
        </w:tabs>
        <w:rPr>
          <w:b/>
          <w:strike/>
          <w:szCs w:val="24"/>
        </w:rPr>
      </w:pPr>
      <w:r w:rsidRPr="00704BAF">
        <w:rPr>
          <w:b/>
          <w:szCs w:val="24"/>
        </w:rPr>
        <w:t>252.232-</w:t>
      </w:r>
      <w:proofErr w:type="gramStart"/>
      <w:r w:rsidRPr="00704BAF">
        <w:rPr>
          <w:b/>
          <w:szCs w:val="24"/>
        </w:rPr>
        <w:t>7014</w:t>
      </w:r>
      <w:r w:rsidRPr="001E7243">
        <w:rPr>
          <w:b/>
          <w:szCs w:val="24"/>
        </w:rPr>
        <w:t xml:space="preserve">  </w:t>
      </w:r>
      <w:r w:rsidR="001E7243" w:rsidRPr="001E7243">
        <w:rPr>
          <w:b/>
          <w:szCs w:val="24"/>
        </w:rPr>
        <w:t>[</w:t>
      </w:r>
      <w:proofErr w:type="gramEnd"/>
      <w:r w:rsidR="001E7243" w:rsidRPr="001E7243">
        <w:rPr>
          <w:b/>
          <w:szCs w:val="24"/>
        </w:rPr>
        <w:t>Reserved]</w:t>
      </w:r>
      <w:r w:rsidRPr="00CE5659">
        <w:rPr>
          <w:b/>
          <w:strike/>
          <w:szCs w:val="24"/>
        </w:rPr>
        <w:t>Notification of Payment in Local Currency (Afghanistan).</w:t>
      </w:r>
    </w:p>
    <w:p w14:paraId="09EF58C8" w14:textId="77777777" w:rsidR="004E2349" w:rsidRPr="00CE5659" w:rsidRDefault="004E2349" w:rsidP="004E2349">
      <w:pPr>
        <w:pStyle w:val="DFARS"/>
        <w:tabs>
          <w:tab w:val="clear" w:pos="810"/>
          <w:tab w:val="left" w:pos="806"/>
        </w:tabs>
        <w:rPr>
          <w:strike/>
          <w:szCs w:val="24"/>
        </w:rPr>
      </w:pPr>
      <w:r w:rsidRPr="00CE5659">
        <w:rPr>
          <w:strike/>
          <w:szCs w:val="24"/>
        </w:rPr>
        <w:t xml:space="preserve">As prescribed in </w:t>
      </w:r>
      <w:hyperlink r:id="rId12" w:anchor="232.7202" w:history="1">
        <w:r w:rsidRPr="00CE5659">
          <w:rPr>
            <w:rStyle w:val="Hyperlink"/>
            <w:strike/>
            <w:szCs w:val="24"/>
          </w:rPr>
          <w:t>232.7202</w:t>
        </w:r>
      </w:hyperlink>
      <w:r w:rsidRPr="00CE5659">
        <w:rPr>
          <w:strike/>
          <w:szCs w:val="24"/>
        </w:rPr>
        <w:t>, use the following provision:</w:t>
      </w:r>
    </w:p>
    <w:p w14:paraId="3E2D9B71" w14:textId="77777777" w:rsidR="004E2349" w:rsidRPr="00CE5659" w:rsidRDefault="004E2349" w:rsidP="004E2349">
      <w:pPr>
        <w:pStyle w:val="DFARS"/>
        <w:tabs>
          <w:tab w:val="clear" w:pos="810"/>
          <w:tab w:val="left" w:pos="806"/>
          <w:tab w:val="left" w:pos="3540"/>
        </w:tabs>
        <w:rPr>
          <w:strike/>
          <w:szCs w:val="24"/>
        </w:rPr>
      </w:pPr>
    </w:p>
    <w:p w14:paraId="76B10D06" w14:textId="77777777" w:rsidR="004E2349" w:rsidRPr="00CE5659" w:rsidRDefault="004E2349" w:rsidP="004E2349">
      <w:pPr>
        <w:pStyle w:val="DFARS"/>
        <w:tabs>
          <w:tab w:val="clear" w:pos="810"/>
          <w:tab w:val="left" w:pos="806"/>
        </w:tabs>
        <w:jc w:val="center"/>
        <w:rPr>
          <w:strike/>
          <w:szCs w:val="24"/>
        </w:rPr>
      </w:pPr>
      <w:r w:rsidRPr="00CE5659">
        <w:rPr>
          <w:strike/>
          <w:szCs w:val="24"/>
        </w:rPr>
        <w:t>NOTIFICATION OF PAYMENT IN LOCAL CURRENCY</w:t>
      </w:r>
    </w:p>
    <w:p w14:paraId="014D8A42" w14:textId="77777777" w:rsidR="004E2349" w:rsidRPr="00CE5659" w:rsidRDefault="004E2349" w:rsidP="004E2349">
      <w:pPr>
        <w:pStyle w:val="DFARS"/>
        <w:tabs>
          <w:tab w:val="clear" w:pos="810"/>
          <w:tab w:val="left" w:pos="806"/>
        </w:tabs>
        <w:jc w:val="center"/>
        <w:rPr>
          <w:strike/>
          <w:szCs w:val="24"/>
        </w:rPr>
      </w:pPr>
      <w:r w:rsidRPr="00CE5659">
        <w:rPr>
          <w:strike/>
          <w:szCs w:val="24"/>
        </w:rPr>
        <w:t>(AFGHANISTAN) (SEP 2014)</w:t>
      </w:r>
    </w:p>
    <w:p w14:paraId="16BDA8D2" w14:textId="77777777" w:rsidR="004E2349" w:rsidRPr="00CE5659" w:rsidRDefault="004E2349" w:rsidP="004E2349">
      <w:pPr>
        <w:pStyle w:val="DFARS"/>
        <w:tabs>
          <w:tab w:val="clear" w:pos="810"/>
          <w:tab w:val="left" w:pos="806"/>
        </w:tabs>
        <w:rPr>
          <w:b/>
          <w:strike/>
          <w:szCs w:val="24"/>
        </w:rPr>
      </w:pPr>
    </w:p>
    <w:p w14:paraId="05024587" w14:textId="77777777" w:rsidR="004E2349" w:rsidRPr="00CE5659" w:rsidRDefault="004E2349" w:rsidP="004E2349">
      <w:pPr>
        <w:pStyle w:val="DFARS"/>
        <w:tabs>
          <w:tab w:val="clear" w:pos="810"/>
          <w:tab w:val="left" w:pos="806"/>
        </w:tabs>
        <w:rPr>
          <w:strike/>
          <w:szCs w:val="24"/>
        </w:rPr>
      </w:pPr>
      <w:r w:rsidRPr="00CE5659">
        <w:rPr>
          <w:strike/>
          <w:szCs w:val="24"/>
        </w:rPr>
        <w:tab/>
        <w:t xml:space="preserve">(a)  The contract resulting from this solicitation will be paid in Afghani (local currency) if the contract is awarded to a host nation vendor (Afghan), pursuant to the </w:t>
      </w:r>
      <w:r w:rsidRPr="00CE5659">
        <w:rPr>
          <w:strike/>
          <w:szCs w:val="24"/>
        </w:rPr>
        <w:lastRenderedPageBreak/>
        <w:t>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14:paraId="433204BA" w14:textId="77777777" w:rsidR="004E2349" w:rsidRPr="00CE5659" w:rsidRDefault="004E2349" w:rsidP="004E2349">
      <w:pPr>
        <w:pStyle w:val="DFARS"/>
        <w:tabs>
          <w:tab w:val="clear" w:pos="810"/>
          <w:tab w:val="left" w:pos="806"/>
        </w:tabs>
        <w:rPr>
          <w:strike/>
          <w:szCs w:val="24"/>
        </w:rPr>
      </w:pPr>
    </w:p>
    <w:p w14:paraId="70EC29FF" w14:textId="77777777" w:rsidR="004E2349" w:rsidRPr="00CE5659" w:rsidRDefault="004E2349" w:rsidP="004E2349">
      <w:pPr>
        <w:pStyle w:val="DFARS"/>
        <w:tabs>
          <w:tab w:val="clear" w:pos="810"/>
          <w:tab w:val="left" w:pos="806"/>
        </w:tabs>
        <w:rPr>
          <w:strike/>
          <w:szCs w:val="24"/>
        </w:rPr>
      </w:pPr>
      <w:r w:rsidRPr="00CE5659">
        <w:rPr>
          <w:strike/>
          <w:szCs w:val="24"/>
        </w:rPr>
        <w:tab/>
        <w:t xml:space="preserve">(b)  Vendors shall submit quotations and offers in U.S. dollars.  If the contract is awarded to an Afghan vendor, the quotation or offer will be converted to Afghani using a Government budget rate of </w:t>
      </w:r>
      <w:r w:rsidRPr="00CE5659">
        <w:rPr>
          <w:i/>
          <w:strike/>
          <w:szCs w:val="24"/>
          <w:u w:val="single"/>
        </w:rPr>
        <w:t>[Insert current budget rate here.]</w:t>
      </w:r>
      <w:r w:rsidRPr="00CE5659">
        <w:rPr>
          <w:strike/>
          <w:szCs w:val="24"/>
        </w:rPr>
        <w:t xml:space="preserve"> Afghani per U.S. dollar.</w:t>
      </w:r>
    </w:p>
    <w:p w14:paraId="2F141CAA" w14:textId="77777777" w:rsidR="004E2349" w:rsidRPr="00CE5659" w:rsidRDefault="004E2349" w:rsidP="004E2349">
      <w:pPr>
        <w:pStyle w:val="DFARS"/>
        <w:tabs>
          <w:tab w:val="clear" w:pos="810"/>
          <w:tab w:val="left" w:pos="806"/>
        </w:tabs>
        <w:rPr>
          <w:strike/>
          <w:szCs w:val="24"/>
        </w:rPr>
      </w:pPr>
    </w:p>
    <w:p w14:paraId="319C7781" w14:textId="77777777" w:rsidR="004E2349" w:rsidRPr="00CE5659" w:rsidRDefault="004E2349" w:rsidP="004E2349">
      <w:pPr>
        <w:pStyle w:val="DFARS"/>
        <w:tabs>
          <w:tab w:val="clear" w:pos="810"/>
          <w:tab w:val="left" w:pos="806"/>
        </w:tabs>
        <w:rPr>
          <w:strike/>
          <w:szCs w:val="24"/>
        </w:rPr>
      </w:pPr>
      <w:r w:rsidRPr="00CE5659">
        <w:rPr>
          <w:strike/>
          <w:szCs w:val="24"/>
        </w:rPr>
        <w:tab/>
        <w:t>(c)  By exception, the following forms of payment are acceptable, in the following order of priority, when the local finance office determines that EFT using ITS.gov is not available:</w:t>
      </w:r>
    </w:p>
    <w:p w14:paraId="5AA17038" w14:textId="77777777" w:rsidR="004E2349" w:rsidRPr="00CE5659" w:rsidRDefault="004E2349" w:rsidP="004E2349">
      <w:pPr>
        <w:pStyle w:val="DFARS"/>
        <w:tabs>
          <w:tab w:val="clear" w:pos="810"/>
          <w:tab w:val="left" w:pos="806"/>
        </w:tabs>
        <w:rPr>
          <w:strike/>
          <w:szCs w:val="24"/>
        </w:rPr>
      </w:pPr>
    </w:p>
    <w:p w14:paraId="7E5B04CF" w14:textId="77777777" w:rsidR="004E2349" w:rsidRPr="00CE5659" w:rsidRDefault="004E2349" w:rsidP="004E2349">
      <w:pPr>
        <w:pStyle w:val="DFARS"/>
        <w:tabs>
          <w:tab w:val="clear" w:pos="810"/>
          <w:tab w:val="left" w:pos="806"/>
        </w:tabs>
        <w:rPr>
          <w:strike/>
          <w:szCs w:val="24"/>
        </w:rPr>
      </w:pPr>
      <w:r w:rsidRPr="00CE5659">
        <w:rPr>
          <w:strike/>
          <w:szCs w:val="24"/>
        </w:rPr>
        <w:tab/>
      </w:r>
      <w:r w:rsidRPr="00CE5659">
        <w:rPr>
          <w:strike/>
          <w:szCs w:val="24"/>
        </w:rPr>
        <w:tab/>
        <w:t>(1)  EFT using Limited Depository Account (LDA).</w:t>
      </w:r>
    </w:p>
    <w:p w14:paraId="04D46BB2" w14:textId="77777777" w:rsidR="004E2349" w:rsidRPr="00CE5659" w:rsidRDefault="004E2349" w:rsidP="004E2349">
      <w:pPr>
        <w:pStyle w:val="DFARS"/>
        <w:tabs>
          <w:tab w:val="clear" w:pos="810"/>
          <w:tab w:val="left" w:pos="806"/>
        </w:tabs>
        <w:rPr>
          <w:strike/>
          <w:szCs w:val="24"/>
        </w:rPr>
      </w:pPr>
    </w:p>
    <w:p w14:paraId="64342DC1" w14:textId="77777777" w:rsidR="004E2349" w:rsidRPr="00CE5659" w:rsidRDefault="004E2349" w:rsidP="004E2349">
      <w:pPr>
        <w:pStyle w:val="DFARS"/>
        <w:tabs>
          <w:tab w:val="clear" w:pos="810"/>
          <w:tab w:val="left" w:pos="806"/>
        </w:tabs>
        <w:rPr>
          <w:strike/>
          <w:szCs w:val="24"/>
        </w:rPr>
      </w:pPr>
      <w:r w:rsidRPr="00CE5659">
        <w:rPr>
          <w:strike/>
          <w:szCs w:val="24"/>
        </w:rPr>
        <w:tab/>
      </w:r>
      <w:r w:rsidRPr="00CE5659">
        <w:rPr>
          <w:strike/>
          <w:szCs w:val="24"/>
        </w:rPr>
        <w:tab/>
        <w:t>(2)  Check from the local finance office LDA.</w:t>
      </w:r>
    </w:p>
    <w:p w14:paraId="40CC37C1" w14:textId="77777777" w:rsidR="004E2349" w:rsidRPr="00CE5659" w:rsidRDefault="004E2349" w:rsidP="004E2349">
      <w:pPr>
        <w:pStyle w:val="DFARS"/>
        <w:tabs>
          <w:tab w:val="clear" w:pos="810"/>
          <w:tab w:val="left" w:pos="806"/>
        </w:tabs>
        <w:rPr>
          <w:strike/>
          <w:szCs w:val="24"/>
        </w:rPr>
      </w:pPr>
    </w:p>
    <w:p w14:paraId="7583BD81" w14:textId="77777777" w:rsidR="004E2349" w:rsidRPr="00CE5659" w:rsidRDefault="004E2349" w:rsidP="004E2349">
      <w:pPr>
        <w:pStyle w:val="DFARS"/>
        <w:tabs>
          <w:tab w:val="clear" w:pos="810"/>
          <w:tab w:val="left" w:pos="806"/>
        </w:tabs>
        <w:rPr>
          <w:strike/>
          <w:szCs w:val="24"/>
        </w:rPr>
      </w:pPr>
      <w:r w:rsidRPr="00CE5659">
        <w:rPr>
          <w:strike/>
          <w:szCs w:val="24"/>
        </w:rPr>
        <w:tab/>
      </w:r>
      <w:r w:rsidRPr="00CE5659">
        <w:rPr>
          <w:strike/>
          <w:szCs w:val="24"/>
        </w:rPr>
        <w:tab/>
        <w:t>(3)  Local currency cash payments in Afghani (must be approved in writing by the local finance office and contracting office prior to contract award).  Payments in cash are restricted to contracts when—</w:t>
      </w:r>
    </w:p>
    <w:p w14:paraId="5A09E843" w14:textId="77777777" w:rsidR="004E2349" w:rsidRPr="00CE5659" w:rsidRDefault="004E2349" w:rsidP="004E2349">
      <w:pPr>
        <w:pStyle w:val="DFARS"/>
        <w:tabs>
          <w:tab w:val="clear" w:pos="810"/>
          <w:tab w:val="left" w:pos="806"/>
        </w:tabs>
        <w:rPr>
          <w:strike/>
          <w:szCs w:val="24"/>
        </w:rPr>
      </w:pPr>
    </w:p>
    <w:p w14:paraId="4920297B" w14:textId="77777777" w:rsidR="004E2349" w:rsidRPr="00CE5659" w:rsidRDefault="004E2349" w:rsidP="004E2349">
      <w:pPr>
        <w:pStyle w:val="DFARS"/>
        <w:tabs>
          <w:tab w:val="clear" w:pos="810"/>
          <w:tab w:val="left" w:pos="806"/>
        </w:tabs>
        <w:rPr>
          <w:strike/>
          <w:szCs w:val="24"/>
        </w:rPr>
      </w:pPr>
      <w:r w:rsidRPr="00CE5659">
        <w:rPr>
          <w:strike/>
          <w:szCs w:val="24"/>
        </w:rPr>
        <w:tab/>
      </w:r>
      <w:r w:rsidRPr="00CE5659">
        <w:rPr>
          <w:strike/>
          <w:szCs w:val="24"/>
        </w:rPr>
        <w:tab/>
      </w:r>
      <w:r w:rsidRPr="00CE5659">
        <w:rPr>
          <w:strike/>
          <w:szCs w:val="24"/>
        </w:rPr>
        <w:tab/>
        <w:t>(</w:t>
      </w:r>
      <w:proofErr w:type="spellStart"/>
      <w:r w:rsidRPr="00CE5659">
        <w:rPr>
          <w:strike/>
          <w:szCs w:val="24"/>
        </w:rPr>
        <w:t>i</w:t>
      </w:r>
      <w:proofErr w:type="spellEnd"/>
      <w:r w:rsidRPr="00CE5659">
        <w:rPr>
          <w:strike/>
          <w:szCs w:val="24"/>
        </w:rPr>
        <w:t>)  The vendor provides proof via a letter from the host nation banking institution that it is not EFT capable; and</w:t>
      </w:r>
    </w:p>
    <w:p w14:paraId="71E43709" w14:textId="77777777" w:rsidR="004E2349" w:rsidRPr="00CE5659" w:rsidRDefault="004E2349" w:rsidP="004E2349">
      <w:pPr>
        <w:pStyle w:val="DFARS"/>
        <w:tabs>
          <w:tab w:val="clear" w:pos="810"/>
          <w:tab w:val="left" w:pos="806"/>
        </w:tabs>
        <w:rPr>
          <w:strike/>
          <w:szCs w:val="24"/>
        </w:rPr>
      </w:pPr>
    </w:p>
    <w:p w14:paraId="5B204EED" w14:textId="77777777" w:rsidR="004E2349" w:rsidRPr="00CE5659" w:rsidRDefault="004E2349" w:rsidP="004E2349">
      <w:pPr>
        <w:pStyle w:val="DFARS"/>
        <w:tabs>
          <w:tab w:val="clear" w:pos="810"/>
          <w:tab w:val="left" w:pos="806"/>
        </w:tabs>
        <w:rPr>
          <w:strike/>
          <w:szCs w:val="24"/>
        </w:rPr>
      </w:pPr>
      <w:r w:rsidRPr="00CE5659">
        <w:rPr>
          <w:strike/>
          <w:szCs w:val="24"/>
        </w:rPr>
        <w:tab/>
      </w:r>
      <w:r w:rsidRPr="00CE5659">
        <w:rPr>
          <w:strike/>
          <w:szCs w:val="24"/>
        </w:rPr>
        <w:tab/>
      </w:r>
      <w:r w:rsidRPr="00CE5659">
        <w:rPr>
          <w:strike/>
          <w:szCs w:val="24"/>
        </w:rPr>
        <w:tab/>
        <w:t>(ii)  The local finance office validates that the vendor’s banking institution is not EFT capable.  Cash payments will be made in Afghani.</w:t>
      </w:r>
    </w:p>
    <w:p w14:paraId="0180C147" w14:textId="77777777" w:rsidR="004E2349" w:rsidRPr="00CE5659" w:rsidRDefault="004E2349" w:rsidP="004E2349">
      <w:pPr>
        <w:pStyle w:val="DFARS"/>
        <w:tabs>
          <w:tab w:val="clear" w:pos="810"/>
          <w:tab w:val="left" w:pos="806"/>
        </w:tabs>
        <w:rPr>
          <w:strike/>
          <w:szCs w:val="24"/>
        </w:rPr>
      </w:pPr>
    </w:p>
    <w:p w14:paraId="438378D7" w14:textId="77777777" w:rsidR="004E2349" w:rsidRPr="00CE5659" w:rsidRDefault="004E2349" w:rsidP="004E2349">
      <w:pPr>
        <w:pStyle w:val="DFARS"/>
        <w:tabs>
          <w:tab w:val="clear" w:pos="810"/>
          <w:tab w:val="left" w:pos="806"/>
        </w:tabs>
        <w:jc w:val="center"/>
        <w:rPr>
          <w:strike/>
          <w:szCs w:val="24"/>
        </w:rPr>
      </w:pPr>
      <w:r w:rsidRPr="00CE5659">
        <w:rPr>
          <w:strike/>
          <w:szCs w:val="24"/>
        </w:rPr>
        <w:t>(End of provision)</w:t>
      </w:r>
    </w:p>
    <w:sectPr w:rsidR="004E2349" w:rsidRPr="00CE5659" w:rsidSect="0028599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A7F39" w14:textId="77777777" w:rsidR="00EE31CD" w:rsidRDefault="00EE31CD" w:rsidP="00750ED5">
      <w:pPr>
        <w:spacing w:after="0" w:line="240" w:lineRule="auto"/>
      </w:pPr>
      <w:r>
        <w:separator/>
      </w:r>
    </w:p>
  </w:endnote>
  <w:endnote w:type="continuationSeparator" w:id="0">
    <w:p w14:paraId="403B8286" w14:textId="77777777" w:rsidR="00EE31CD" w:rsidRDefault="00EE31CD" w:rsidP="0075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C639C" w14:textId="60FAE1B9" w:rsidR="00B94EAC" w:rsidRPr="000E46FA" w:rsidRDefault="00555A45" w:rsidP="00C73C6B">
    <w:pPr>
      <w:pStyle w:val="Footer"/>
      <w:jc w:val="center"/>
      <w:rPr>
        <w:rFonts w:ascii="Century Schoolbook" w:hAnsi="Century Schoolbook"/>
        <w:sz w:val="24"/>
        <w:szCs w:val="24"/>
      </w:rPr>
    </w:pPr>
    <w:r w:rsidRPr="000E46FA">
      <w:rPr>
        <w:rFonts w:ascii="Century Schoolbook" w:hAnsi="Century Schoolbook"/>
        <w:sz w:val="24"/>
        <w:szCs w:val="24"/>
      </w:rPr>
      <w:t xml:space="preserve">Page </w:t>
    </w:r>
    <w:r w:rsidRPr="000E46FA">
      <w:rPr>
        <w:rFonts w:ascii="Century Schoolbook" w:hAnsi="Century Schoolbook"/>
        <w:b/>
        <w:sz w:val="24"/>
        <w:szCs w:val="24"/>
      </w:rPr>
      <w:fldChar w:fldCharType="begin"/>
    </w:r>
    <w:r w:rsidRPr="000E46FA">
      <w:rPr>
        <w:rFonts w:ascii="Century Schoolbook" w:hAnsi="Century Schoolbook"/>
        <w:b/>
        <w:sz w:val="24"/>
        <w:szCs w:val="24"/>
      </w:rPr>
      <w:instrText xml:space="preserve"> PAGE </w:instrText>
    </w:r>
    <w:r w:rsidRPr="000E46FA">
      <w:rPr>
        <w:rFonts w:ascii="Century Schoolbook" w:hAnsi="Century Schoolbook"/>
        <w:b/>
        <w:sz w:val="24"/>
        <w:szCs w:val="24"/>
      </w:rPr>
      <w:fldChar w:fldCharType="separate"/>
    </w:r>
    <w:r w:rsidR="000E46FA">
      <w:rPr>
        <w:rFonts w:ascii="Century Schoolbook" w:hAnsi="Century Schoolbook"/>
        <w:b/>
        <w:noProof/>
        <w:sz w:val="24"/>
        <w:szCs w:val="24"/>
      </w:rPr>
      <w:t>2</w:t>
    </w:r>
    <w:r w:rsidRPr="000E46FA">
      <w:rPr>
        <w:rFonts w:ascii="Century Schoolbook" w:hAnsi="Century Schoolbook"/>
        <w:b/>
        <w:sz w:val="24"/>
        <w:szCs w:val="24"/>
      </w:rPr>
      <w:fldChar w:fldCharType="end"/>
    </w:r>
    <w:r w:rsidRPr="000E46FA">
      <w:rPr>
        <w:rFonts w:ascii="Century Schoolbook" w:hAnsi="Century Schoolbook"/>
        <w:sz w:val="24"/>
        <w:szCs w:val="24"/>
      </w:rPr>
      <w:t xml:space="preserve"> of </w:t>
    </w:r>
    <w:r w:rsidRPr="000E46FA">
      <w:rPr>
        <w:rFonts w:ascii="Century Schoolbook" w:hAnsi="Century Schoolbook"/>
        <w:b/>
        <w:sz w:val="24"/>
        <w:szCs w:val="24"/>
      </w:rPr>
      <w:fldChar w:fldCharType="begin"/>
    </w:r>
    <w:r w:rsidRPr="000E46FA">
      <w:rPr>
        <w:rFonts w:ascii="Century Schoolbook" w:hAnsi="Century Schoolbook"/>
        <w:b/>
        <w:sz w:val="24"/>
        <w:szCs w:val="24"/>
      </w:rPr>
      <w:instrText xml:space="preserve"> NUMPAGES  </w:instrText>
    </w:r>
    <w:r w:rsidRPr="000E46FA">
      <w:rPr>
        <w:rFonts w:ascii="Century Schoolbook" w:hAnsi="Century Schoolbook"/>
        <w:b/>
        <w:sz w:val="24"/>
        <w:szCs w:val="24"/>
      </w:rPr>
      <w:fldChar w:fldCharType="separate"/>
    </w:r>
    <w:r w:rsidR="000E46FA">
      <w:rPr>
        <w:rFonts w:ascii="Century Schoolbook" w:hAnsi="Century Schoolbook"/>
        <w:b/>
        <w:noProof/>
        <w:sz w:val="24"/>
        <w:szCs w:val="24"/>
      </w:rPr>
      <w:t>2</w:t>
    </w:r>
    <w:r w:rsidRPr="000E46FA">
      <w:rPr>
        <w:rFonts w:ascii="Century Schoolbook" w:hAnsi="Century Schoolbook"/>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E5581" w14:textId="77777777" w:rsidR="00EE31CD" w:rsidRDefault="00EE31CD" w:rsidP="00750ED5">
      <w:pPr>
        <w:spacing w:after="0" w:line="240" w:lineRule="auto"/>
      </w:pPr>
      <w:r>
        <w:separator/>
      </w:r>
    </w:p>
  </w:footnote>
  <w:footnote w:type="continuationSeparator" w:id="0">
    <w:p w14:paraId="749C4665" w14:textId="77777777" w:rsidR="00EE31CD" w:rsidRDefault="00EE31CD" w:rsidP="00750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55B3C"/>
    <w:multiLevelType w:val="hybridMultilevel"/>
    <w:tmpl w:val="B8D41442"/>
    <w:lvl w:ilvl="0" w:tplc="2D94F35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420589"/>
    <w:multiLevelType w:val="hybridMultilevel"/>
    <w:tmpl w:val="8DFED9BA"/>
    <w:lvl w:ilvl="0" w:tplc="1604068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4A7351E"/>
    <w:multiLevelType w:val="hybridMultilevel"/>
    <w:tmpl w:val="DD7C59DA"/>
    <w:lvl w:ilvl="0" w:tplc="9E6E560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5372"/>
    <w:multiLevelType w:val="hybridMultilevel"/>
    <w:tmpl w:val="04BC1D9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BC5204"/>
    <w:multiLevelType w:val="hybridMultilevel"/>
    <w:tmpl w:val="9EE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477BE"/>
    <w:multiLevelType w:val="hybridMultilevel"/>
    <w:tmpl w:val="169492EE"/>
    <w:lvl w:ilvl="0" w:tplc="ABFC90F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B531E"/>
    <w:multiLevelType w:val="hybridMultilevel"/>
    <w:tmpl w:val="D2D60764"/>
    <w:lvl w:ilvl="0" w:tplc="17EE8D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F6"/>
    <w:rsid w:val="0000146F"/>
    <w:rsid w:val="0000323E"/>
    <w:rsid w:val="0000373F"/>
    <w:rsid w:val="00022781"/>
    <w:rsid w:val="00023048"/>
    <w:rsid w:val="000367B7"/>
    <w:rsid w:val="00053EEF"/>
    <w:rsid w:val="000571F6"/>
    <w:rsid w:val="00060EA1"/>
    <w:rsid w:val="0006387D"/>
    <w:rsid w:val="00097D97"/>
    <w:rsid w:val="000C2031"/>
    <w:rsid w:val="000C725B"/>
    <w:rsid w:val="000E0EF8"/>
    <w:rsid w:val="000E2398"/>
    <w:rsid w:val="000E46FA"/>
    <w:rsid w:val="000F774B"/>
    <w:rsid w:val="0010608B"/>
    <w:rsid w:val="001122CA"/>
    <w:rsid w:val="00113340"/>
    <w:rsid w:val="00116C67"/>
    <w:rsid w:val="00121CEA"/>
    <w:rsid w:val="0012509A"/>
    <w:rsid w:val="00126DFC"/>
    <w:rsid w:val="00130BFA"/>
    <w:rsid w:val="00134C35"/>
    <w:rsid w:val="00144583"/>
    <w:rsid w:val="0015481A"/>
    <w:rsid w:val="00191D23"/>
    <w:rsid w:val="001936B1"/>
    <w:rsid w:val="00193E61"/>
    <w:rsid w:val="001A1615"/>
    <w:rsid w:val="001B13B2"/>
    <w:rsid w:val="001B2EBC"/>
    <w:rsid w:val="001B6718"/>
    <w:rsid w:val="001C4AA4"/>
    <w:rsid w:val="001D22D0"/>
    <w:rsid w:val="001D4278"/>
    <w:rsid w:val="001D6EFB"/>
    <w:rsid w:val="001E0DBA"/>
    <w:rsid w:val="001E7243"/>
    <w:rsid w:val="00216D01"/>
    <w:rsid w:val="00220CE1"/>
    <w:rsid w:val="00230E5D"/>
    <w:rsid w:val="0026766F"/>
    <w:rsid w:val="00285994"/>
    <w:rsid w:val="002A0596"/>
    <w:rsid w:val="002A6EB8"/>
    <w:rsid w:val="002A7221"/>
    <w:rsid w:val="002A7CF2"/>
    <w:rsid w:val="002C051F"/>
    <w:rsid w:val="002C3423"/>
    <w:rsid w:val="002D4706"/>
    <w:rsid w:val="002D7C30"/>
    <w:rsid w:val="002F10C6"/>
    <w:rsid w:val="003104EF"/>
    <w:rsid w:val="003336D2"/>
    <w:rsid w:val="00362245"/>
    <w:rsid w:val="00376D75"/>
    <w:rsid w:val="0039029C"/>
    <w:rsid w:val="00390714"/>
    <w:rsid w:val="003936CA"/>
    <w:rsid w:val="003943F4"/>
    <w:rsid w:val="003A331F"/>
    <w:rsid w:val="003A6A47"/>
    <w:rsid w:val="003B610F"/>
    <w:rsid w:val="003C611B"/>
    <w:rsid w:val="003D5DE3"/>
    <w:rsid w:val="003E37E9"/>
    <w:rsid w:val="003F4A23"/>
    <w:rsid w:val="00407EC9"/>
    <w:rsid w:val="00410167"/>
    <w:rsid w:val="0043015D"/>
    <w:rsid w:val="00446F36"/>
    <w:rsid w:val="00451E33"/>
    <w:rsid w:val="00455EA0"/>
    <w:rsid w:val="004574B6"/>
    <w:rsid w:val="00465762"/>
    <w:rsid w:val="004775F4"/>
    <w:rsid w:val="0048774E"/>
    <w:rsid w:val="004B43CF"/>
    <w:rsid w:val="004C7F92"/>
    <w:rsid w:val="004D3A04"/>
    <w:rsid w:val="004D44EB"/>
    <w:rsid w:val="004E2349"/>
    <w:rsid w:val="00501123"/>
    <w:rsid w:val="00506683"/>
    <w:rsid w:val="005101BF"/>
    <w:rsid w:val="005163C9"/>
    <w:rsid w:val="00520149"/>
    <w:rsid w:val="00526B5A"/>
    <w:rsid w:val="00535BEB"/>
    <w:rsid w:val="0055223D"/>
    <w:rsid w:val="00555A45"/>
    <w:rsid w:val="005616C7"/>
    <w:rsid w:val="00564FF6"/>
    <w:rsid w:val="00566B2D"/>
    <w:rsid w:val="00574183"/>
    <w:rsid w:val="00580676"/>
    <w:rsid w:val="0059141C"/>
    <w:rsid w:val="005A439A"/>
    <w:rsid w:val="005C41F5"/>
    <w:rsid w:val="005D5C69"/>
    <w:rsid w:val="005E375A"/>
    <w:rsid w:val="005F0440"/>
    <w:rsid w:val="0061695D"/>
    <w:rsid w:val="00616A4B"/>
    <w:rsid w:val="00650838"/>
    <w:rsid w:val="00652A63"/>
    <w:rsid w:val="00655A71"/>
    <w:rsid w:val="00673BDF"/>
    <w:rsid w:val="00681759"/>
    <w:rsid w:val="006C2670"/>
    <w:rsid w:val="006E4964"/>
    <w:rsid w:val="006F580E"/>
    <w:rsid w:val="00700048"/>
    <w:rsid w:val="00704BAF"/>
    <w:rsid w:val="007054DC"/>
    <w:rsid w:val="00707E00"/>
    <w:rsid w:val="00716953"/>
    <w:rsid w:val="0072152D"/>
    <w:rsid w:val="00742DFE"/>
    <w:rsid w:val="00746D87"/>
    <w:rsid w:val="00750ED5"/>
    <w:rsid w:val="00754398"/>
    <w:rsid w:val="00756D06"/>
    <w:rsid w:val="00763612"/>
    <w:rsid w:val="00776443"/>
    <w:rsid w:val="00784FF1"/>
    <w:rsid w:val="00785ACD"/>
    <w:rsid w:val="00793884"/>
    <w:rsid w:val="007B09BA"/>
    <w:rsid w:val="007C0549"/>
    <w:rsid w:val="007C3025"/>
    <w:rsid w:val="007C7E04"/>
    <w:rsid w:val="007D2BF5"/>
    <w:rsid w:val="007D5217"/>
    <w:rsid w:val="007E58D3"/>
    <w:rsid w:val="007F4DB0"/>
    <w:rsid w:val="00802901"/>
    <w:rsid w:val="00811FE0"/>
    <w:rsid w:val="008210C9"/>
    <w:rsid w:val="00823B48"/>
    <w:rsid w:val="0082655C"/>
    <w:rsid w:val="00834F9F"/>
    <w:rsid w:val="00836BFB"/>
    <w:rsid w:val="00844FC6"/>
    <w:rsid w:val="00851457"/>
    <w:rsid w:val="00860D63"/>
    <w:rsid w:val="00873D39"/>
    <w:rsid w:val="008864FC"/>
    <w:rsid w:val="00890C45"/>
    <w:rsid w:val="008A1074"/>
    <w:rsid w:val="008A4CAA"/>
    <w:rsid w:val="008A5F8F"/>
    <w:rsid w:val="008B2D42"/>
    <w:rsid w:val="008C4F9B"/>
    <w:rsid w:val="008D0844"/>
    <w:rsid w:val="008E34EA"/>
    <w:rsid w:val="008F0797"/>
    <w:rsid w:val="008F62BD"/>
    <w:rsid w:val="008F776B"/>
    <w:rsid w:val="009003EA"/>
    <w:rsid w:val="0090240D"/>
    <w:rsid w:val="00905726"/>
    <w:rsid w:val="009106ED"/>
    <w:rsid w:val="00930578"/>
    <w:rsid w:val="00943EF6"/>
    <w:rsid w:val="00955353"/>
    <w:rsid w:val="00955A69"/>
    <w:rsid w:val="009635CB"/>
    <w:rsid w:val="00966C9F"/>
    <w:rsid w:val="00982CCD"/>
    <w:rsid w:val="00987FB4"/>
    <w:rsid w:val="009917D2"/>
    <w:rsid w:val="009B6F40"/>
    <w:rsid w:val="009C404B"/>
    <w:rsid w:val="009D1C72"/>
    <w:rsid w:val="009D3316"/>
    <w:rsid w:val="009D6E2A"/>
    <w:rsid w:val="009F4C14"/>
    <w:rsid w:val="00A1174B"/>
    <w:rsid w:val="00A258D6"/>
    <w:rsid w:val="00A34720"/>
    <w:rsid w:val="00A37908"/>
    <w:rsid w:val="00A47A30"/>
    <w:rsid w:val="00A54D26"/>
    <w:rsid w:val="00A56391"/>
    <w:rsid w:val="00A66590"/>
    <w:rsid w:val="00A702FE"/>
    <w:rsid w:val="00A766F7"/>
    <w:rsid w:val="00A80209"/>
    <w:rsid w:val="00A803A8"/>
    <w:rsid w:val="00A92FBC"/>
    <w:rsid w:val="00A95214"/>
    <w:rsid w:val="00AC1597"/>
    <w:rsid w:val="00AD30BE"/>
    <w:rsid w:val="00AD5B7B"/>
    <w:rsid w:val="00AE7D59"/>
    <w:rsid w:val="00B107E7"/>
    <w:rsid w:val="00B17F6E"/>
    <w:rsid w:val="00B31CB3"/>
    <w:rsid w:val="00B346C4"/>
    <w:rsid w:val="00B37630"/>
    <w:rsid w:val="00B44EED"/>
    <w:rsid w:val="00B47624"/>
    <w:rsid w:val="00B545EA"/>
    <w:rsid w:val="00B6294B"/>
    <w:rsid w:val="00B65E7D"/>
    <w:rsid w:val="00B8241F"/>
    <w:rsid w:val="00B94EAC"/>
    <w:rsid w:val="00B96D01"/>
    <w:rsid w:val="00B97E91"/>
    <w:rsid w:val="00BA0A65"/>
    <w:rsid w:val="00BB5070"/>
    <w:rsid w:val="00BC5072"/>
    <w:rsid w:val="00BC7FDB"/>
    <w:rsid w:val="00BD7DF7"/>
    <w:rsid w:val="00BE2F26"/>
    <w:rsid w:val="00C24A61"/>
    <w:rsid w:val="00C26AC0"/>
    <w:rsid w:val="00C31761"/>
    <w:rsid w:val="00C46FD2"/>
    <w:rsid w:val="00C6105B"/>
    <w:rsid w:val="00C73C6B"/>
    <w:rsid w:val="00C7494D"/>
    <w:rsid w:val="00C765CB"/>
    <w:rsid w:val="00C76DD4"/>
    <w:rsid w:val="00C8196F"/>
    <w:rsid w:val="00C832D2"/>
    <w:rsid w:val="00C96F43"/>
    <w:rsid w:val="00CA002D"/>
    <w:rsid w:val="00CA28FE"/>
    <w:rsid w:val="00CA4028"/>
    <w:rsid w:val="00CB13A6"/>
    <w:rsid w:val="00CB6CD6"/>
    <w:rsid w:val="00CC20E0"/>
    <w:rsid w:val="00CD026C"/>
    <w:rsid w:val="00CE0A59"/>
    <w:rsid w:val="00CE5659"/>
    <w:rsid w:val="00CF1580"/>
    <w:rsid w:val="00D00B5E"/>
    <w:rsid w:val="00D14081"/>
    <w:rsid w:val="00D213E4"/>
    <w:rsid w:val="00D274EB"/>
    <w:rsid w:val="00D419FA"/>
    <w:rsid w:val="00D477A9"/>
    <w:rsid w:val="00D50BA2"/>
    <w:rsid w:val="00D5622A"/>
    <w:rsid w:val="00D752DA"/>
    <w:rsid w:val="00D82197"/>
    <w:rsid w:val="00D85252"/>
    <w:rsid w:val="00DB323F"/>
    <w:rsid w:val="00DC0394"/>
    <w:rsid w:val="00DC0D2C"/>
    <w:rsid w:val="00DC40A7"/>
    <w:rsid w:val="00DC571A"/>
    <w:rsid w:val="00DD7C5E"/>
    <w:rsid w:val="00DF0217"/>
    <w:rsid w:val="00E028BC"/>
    <w:rsid w:val="00E64851"/>
    <w:rsid w:val="00E6790E"/>
    <w:rsid w:val="00E71379"/>
    <w:rsid w:val="00E80150"/>
    <w:rsid w:val="00E818C0"/>
    <w:rsid w:val="00E900EF"/>
    <w:rsid w:val="00E90D40"/>
    <w:rsid w:val="00EA1F19"/>
    <w:rsid w:val="00EB09B0"/>
    <w:rsid w:val="00EB5F2D"/>
    <w:rsid w:val="00EC6589"/>
    <w:rsid w:val="00ED51CD"/>
    <w:rsid w:val="00ED6C75"/>
    <w:rsid w:val="00EE1728"/>
    <w:rsid w:val="00EE2B8A"/>
    <w:rsid w:val="00EE31CD"/>
    <w:rsid w:val="00EF11A1"/>
    <w:rsid w:val="00EF11B2"/>
    <w:rsid w:val="00F01A70"/>
    <w:rsid w:val="00F0627B"/>
    <w:rsid w:val="00F0794F"/>
    <w:rsid w:val="00F07991"/>
    <w:rsid w:val="00F1371E"/>
    <w:rsid w:val="00F43D9E"/>
    <w:rsid w:val="00F62ED9"/>
    <w:rsid w:val="00F6645B"/>
    <w:rsid w:val="00F705E3"/>
    <w:rsid w:val="00F82362"/>
    <w:rsid w:val="00F97F92"/>
    <w:rsid w:val="00FB0510"/>
    <w:rsid w:val="00FE0E06"/>
    <w:rsid w:val="00FE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BDE27"/>
  <w15:docId w15:val="{4A56030D-5C1B-479C-A5A0-74F20D19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64FF6"/>
    <w:rPr>
      <w:color w:val="0000FF"/>
      <w:u w:val="single"/>
    </w:rPr>
  </w:style>
  <w:style w:type="paragraph" w:customStyle="1" w:styleId="DFARS">
    <w:name w:val="DFARS"/>
    <w:basedOn w:val="Normal"/>
    <w:link w:val="DFARSChar"/>
    <w:rsid w:val="00564FF6"/>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Header">
    <w:name w:val="header"/>
    <w:basedOn w:val="Normal"/>
    <w:link w:val="HeaderChar"/>
    <w:uiPriority w:val="99"/>
    <w:unhideWhenUsed/>
    <w:rsid w:val="00750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D5"/>
  </w:style>
  <w:style w:type="paragraph" w:styleId="Footer">
    <w:name w:val="footer"/>
    <w:basedOn w:val="Normal"/>
    <w:link w:val="FooterChar"/>
    <w:uiPriority w:val="99"/>
    <w:unhideWhenUsed/>
    <w:rsid w:val="00750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D5"/>
  </w:style>
  <w:style w:type="character" w:customStyle="1" w:styleId="DFARSChar">
    <w:name w:val="DFARS Char"/>
    <w:link w:val="DFARS"/>
    <w:rsid w:val="00655A71"/>
    <w:rPr>
      <w:rFonts w:ascii="Century Schoolbook" w:eastAsia="Times New Roman" w:hAnsi="Century Schoolbook" w:cs="Times New Roman"/>
      <w:spacing w:val="-5"/>
      <w:kern w:val="20"/>
      <w:sz w:val="24"/>
      <w:szCs w:val="20"/>
    </w:rPr>
  </w:style>
  <w:style w:type="character" w:styleId="LineNumber">
    <w:name w:val="line number"/>
    <w:basedOn w:val="DefaultParagraphFont"/>
    <w:uiPriority w:val="99"/>
    <w:semiHidden/>
    <w:unhideWhenUsed/>
    <w:rsid w:val="00655A71"/>
  </w:style>
  <w:style w:type="character" w:styleId="CommentReference">
    <w:name w:val="annotation reference"/>
    <w:basedOn w:val="DefaultParagraphFont"/>
    <w:uiPriority w:val="99"/>
    <w:semiHidden/>
    <w:unhideWhenUsed/>
    <w:rsid w:val="00B6294B"/>
    <w:rPr>
      <w:sz w:val="16"/>
      <w:szCs w:val="16"/>
    </w:rPr>
  </w:style>
  <w:style w:type="paragraph" w:styleId="CommentText">
    <w:name w:val="annotation text"/>
    <w:basedOn w:val="Normal"/>
    <w:link w:val="CommentTextChar"/>
    <w:uiPriority w:val="99"/>
    <w:unhideWhenUsed/>
    <w:rsid w:val="00B6294B"/>
    <w:pPr>
      <w:spacing w:line="240" w:lineRule="auto"/>
    </w:pPr>
    <w:rPr>
      <w:sz w:val="20"/>
      <w:szCs w:val="20"/>
    </w:rPr>
  </w:style>
  <w:style w:type="character" w:customStyle="1" w:styleId="CommentTextChar">
    <w:name w:val="Comment Text Char"/>
    <w:basedOn w:val="DefaultParagraphFont"/>
    <w:link w:val="CommentText"/>
    <w:uiPriority w:val="99"/>
    <w:rsid w:val="00B6294B"/>
    <w:rPr>
      <w:sz w:val="20"/>
      <w:szCs w:val="20"/>
    </w:rPr>
  </w:style>
  <w:style w:type="paragraph" w:styleId="CommentSubject">
    <w:name w:val="annotation subject"/>
    <w:basedOn w:val="CommentText"/>
    <w:next w:val="CommentText"/>
    <w:link w:val="CommentSubjectChar"/>
    <w:uiPriority w:val="99"/>
    <w:semiHidden/>
    <w:unhideWhenUsed/>
    <w:rsid w:val="00B6294B"/>
    <w:rPr>
      <w:b/>
      <w:bCs/>
    </w:rPr>
  </w:style>
  <w:style w:type="character" w:customStyle="1" w:styleId="CommentSubjectChar">
    <w:name w:val="Comment Subject Char"/>
    <w:basedOn w:val="CommentTextChar"/>
    <w:link w:val="CommentSubject"/>
    <w:uiPriority w:val="99"/>
    <w:semiHidden/>
    <w:rsid w:val="00B6294B"/>
    <w:rPr>
      <w:b/>
      <w:bCs/>
      <w:sz w:val="20"/>
      <w:szCs w:val="20"/>
    </w:rPr>
  </w:style>
  <w:style w:type="paragraph" w:styleId="BalloonText">
    <w:name w:val="Balloon Text"/>
    <w:basedOn w:val="Normal"/>
    <w:link w:val="BalloonTextChar"/>
    <w:uiPriority w:val="99"/>
    <w:semiHidden/>
    <w:unhideWhenUsed/>
    <w:rsid w:val="00B62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94B"/>
    <w:rPr>
      <w:rFonts w:ascii="Segoe UI" w:hAnsi="Segoe UI" w:cs="Segoe UI"/>
      <w:sz w:val="18"/>
      <w:szCs w:val="18"/>
    </w:rPr>
  </w:style>
  <w:style w:type="paragraph" w:styleId="ListParagraph">
    <w:name w:val="List Paragraph"/>
    <w:basedOn w:val="Normal"/>
    <w:uiPriority w:val="34"/>
    <w:qFormat/>
    <w:rsid w:val="00AE7D59"/>
    <w:pPr>
      <w:ind w:left="720"/>
      <w:contextualSpacing/>
    </w:pPr>
  </w:style>
  <w:style w:type="character" w:styleId="FollowedHyperlink">
    <w:name w:val="FollowedHyperlink"/>
    <w:basedOn w:val="DefaultParagraphFont"/>
    <w:uiPriority w:val="99"/>
    <w:semiHidden/>
    <w:unhideWhenUsed/>
    <w:rsid w:val="009D1C72"/>
    <w:rPr>
      <w:color w:val="954F72" w:themeColor="followedHyperlink"/>
      <w:u w:val="single"/>
    </w:rPr>
  </w:style>
  <w:style w:type="paragraph" w:styleId="Revision">
    <w:name w:val="Revision"/>
    <w:hidden/>
    <w:uiPriority w:val="99"/>
    <w:semiHidden/>
    <w:rsid w:val="00C96F43"/>
    <w:pPr>
      <w:spacing w:after="0" w:line="240" w:lineRule="auto"/>
    </w:pPr>
  </w:style>
  <w:style w:type="paragraph" w:styleId="PlainText">
    <w:name w:val="Plain Text"/>
    <w:basedOn w:val="Normal"/>
    <w:link w:val="PlainTextChar"/>
    <w:uiPriority w:val="99"/>
    <w:unhideWhenUsed/>
    <w:rsid w:val="001B2EB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B2EBC"/>
    <w:rPr>
      <w:rFonts w:ascii="Calibri" w:hAnsi="Calibri"/>
      <w:szCs w:val="21"/>
    </w:rPr>
  </w:style>
  <w:style w:type="paragraph" w:styleId="FootnoteText">
    <w:name w:val="footnote text"/>
    <w:basedOn w:val="Normal"/>
    <w:link w:val="FootnoteTextChar"/>
    <w:uiPriority w:val="99"/>
    <w:semiHidden/>
    <w:unhideWhenUsed/>
    <w:rsid w:val="00955A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A69"/>
    <w:rPr>
      <w:sz w:val="20"/>
      <w:szCs w:val="20"/>
    </w:rPr>
  </w:style>
  <w:style w:type="character" w:styleId="FootnoteReference">
    <w:name w:val="footnote reference"/>
    <w:basedOn w:val="DefaultParagraphFont"/>
    <w:uiPriority w:val="99"/>
    <w:semiHidden/>
    <w:unhideWhenUsed/>
    <w:rsid w:val="00955A69"/>
    <w:rPr>
      <w:vertAlign w:val="superscript"/>
    </w:rPr>
  </w:style>
  <w:style w:type="paragraph" w:styleId="EndnoteText">
    <w:name w:val="endnote text"/>
    <w:basedOn w:val="Normal"/>
    <w:link w:val="EndnoteTextChar"/>
    <w:uiPriority w:val="99"/>
    <w:semiHidden/>
    <w:unhideWhenUsed/>
    <w:rsid w:val="00CA40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4028"/>
    <w:rPr>
      <w:sz w:val="20"/>
      <w:szCs w:val="20"/>
    </w:rPr>
  </w:style>
  <w:style w:type="character" w:styleId="EndnoteReference">
    <w:name w:val="endnote reference"/>
    <w:basedOn w:val="DefaultParagraphFont"/>
    <w:uiPriority w:val="99"/>
    <w:semiHidden/>
    <w:unhideWhenUsed/>
    <w:rsid w:val="00CA4028"/>
    <w:rPr>
      <w:vertAlign w:val="superscript"/>
    </w:rPr>
  </w:style>
  <w:style w:type="paragraph" w:customStyle="1" w:styleId="NoSpacing1">
    <w:name w:val="No Spacing1"/>
    <w:uiPriority w:val="1"/>
    <w:qFormat/>
    <w:rsid w:val="00526B5A"/>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2221">
      <w:bodyDiv w:val="1"/>
      <w:marLeft w:val="0"/>
      <w:marRight w:val="0"/>
      <w:marTop w:val="0"/>
      <w:marBottom w:val="0"/>
      <w:divBdr>
        <w:top w:val="none" w:sz="0" w:space="0" w:color="auto"/>
        <w:left w:val="none" w:sz="0" w:space="0" w:color="auto"/>
        <w:bottom w:val="none" w:sz="0" w:space="0" w:color="auto"/>
        <w:right w:val="none" w:sz="0" w:space="0" w:color="auto"/>
      </w:divBdr>
    </w:div>
    <w:div w:id="1077243148">
      <w:bodyDiv w:val="1"/>
      <w:marLeft w:val="0"/>
      <w:marRight w:val="0"/>
      <w:marTop w:val="0"/>
      <w:marBottom w:val="0"/>
      <w:divBdr>
        <w:top w:val="none" w:sz="0" w:space="0" w:color="auto"/>
        <w:left w:val="none" w:sz="0" w:space="0" w:color="auto"/>
        <w:bottom w:val="none" w:sz="0" w:space="0" w:color="auto"/>
        <w:right w:val="none" w:sz="0" w:space="0" w:color="auto"/>
      </w:divBdr>
    </w:div>
    <w:div w:id="1218129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osd.mil/dpap/dars/dfars/html/current/232_72.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dars/dfars/html/current/252232.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EBBAB-C787-400D-8312-82018ED4896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A95DB975-79FC-45C7-90E1-00388402B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31F871-E36B-4D8C-A2FB-7283427E78EB}">
  <ds:schemaRefs>
    <ds:schemaRef ds:uri="http://schemas.microsoft.com/sharepoint/v3/contenttype/forms"/>
  </ds:schemaRefs>
</ds:datastoreItem>
</file>

<file path=customXml/itemProps4.xml><?xml version="1.0" encoding="utf-8"?>
<ds:datastoreItem xmlns:ds="http://schemas.openxmlformats.org/officeDocument/2006/customXml" ds:itemID="{37F5A110-F867-4615-B7C5-C3823614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Hawes, Jennifer L CIV OSD OUSD A-S (USA)</dc:creator>
  <cp:keywords/>
  <dc:description/>
  <cp:lastModifiedBy>Johnson, Jennifer D CIV OSD OUSD A-S (USA)</cp:lastModifiedBy>
  <cp:revision>3</cp:revision>
  <cp:lastPrinted>2021-09-22T16:41:00Z</cp:lastPrinted>
  <dcterms:created xsi:type="dcterms:W3CDTF">2022-04-12T22:58:00Z</dcterms:created>
  <dcterms:modified xsi:type="dcterms:W3CDTF">2022-04-18T17:43:00Z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