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9539A" w14:textId="77777777" w:rsidR="00083337" w:rsidRDefault="00083337" w:rsidP="00083337">
      <w:pPr>
        <w:pStyle w:val="DFARS"/>
        <w:jc w:val="center"/>
        <w:rPr>
          <w:b/>
        </w:rPr>
      </w:pPr>
      <w:bookmarkStart w:id="0" w:name="BM219_2"/>
      <w:r>
        <w:rPr>
          <w:b/>
        </w:rPr>
        <w:t>DFARS Case 2022-D002</w:t>
      </w:r>
    </w:p>
    <w:p w14:paraId="51D90007" w14:textId="20521C14" w:rsidR="00083337" w:rsidRDefault="00083337" w:rsidP="00083337">
      <w:pPr>
        <w:pStyle w:val="DFARS"/>
        <w:jc w:val="center"/>
        <w:rPr>
          <w:b/>
        </w:rPr>
      </w:pPr>
      <w:r>
        <w:rPr>
          <w:b/>
        </w:rPr>
        <w:t xml:space="preserve">Small Business Specialist Review </w:t>
      </w:r>
      <w:r w:rsidR="00AE3993">
        <w:rPr>
          <w:b/>
        </w:rPr>
        <w:t>Threshold Update</w:t>
      </w:r>
    </w:p>
    <w:p w14:paraId="0CE2F885" w14:textId="30A772BA" w:rsidR="00083337" w:rsidRDefault="0069096A" w:rsidP="00083337">
      <w:pPr>
        <w:pStyle w:val="DFARS"/>
        <w:jc w:val="center"/>
        <w:rPr>
          <w:b/>
        </w:rPr>
      </w:pPr>
      <w:r>
        <w:rPr>
          <w:b/>
        </w:rPr>
        <w:t xml:space="preserve">Final </w:t>
      </w:r>
      <w:r w:rsidR="00083337">
        <w:rPr>
          <w:b/>
        </w:rPr>
        <w:t>Rule</w:t>
      </w:r>
    </w:p>
    <w:p w14:paraId="530E7686" w14:textId="4A77263A" w:rsidR="005268E2" w:rsidRDefault="005268E2" w:rsidP="00083337">
      <w:pPr>
        <w:pStyle w:val="DFARS"/>
        <w:rPr>
          <w:rFonts w:cs="Courier New"/>
          <w:bCs/>
          <w:szCs w:val="24"/>
        </w:rPr>
      </w:pPr>
    </w:p>
    <w:p w14:paraId="4428DF21" w14:textId="6B95EED0" w:rsidR="00083337" w:rsidRDefault="00083337" w:rsidP="00A21484">
      <w:pPr>
        <w:pStyle w:val="DFARS"/>
        <w:tabs>
          <w:tab w:val="clear" w:pos="810"/>
          <w:tab w:val="left" w:pos="806"/>
        </w:tabs>
        <w:rPr>
          <w:b/>
        </w:rPr>
      </w:pPr>
    </w:p>
    <w:p w14:paraId="61B0CC0B" w14:textId="4A947746" w:rsidR="00D50E7F" w:rsidRDefault="00D50E7F" w:rsidP="00AF7D08">
      <w:pPr>
        <w:pStyle w:val="DFARS"/>
        <w:tabs>
          <w:tab w:val="clear" w:pos="810"/>
          <w:tab w:val="left" w:pos="806"/>
        </w:tabs>
        <w:jc w:val="center"/>
        <w:rPr>
          <w:b/>
        </w:rPr>
      </w:pPr>
      <w:r>
        <w:rPr>
          <w:b/>
        </w:rPr>
        <w:t>PART 219—SMALL BUSINESS PROGRAMS</w:t>
      </w:r>
    </w:p>
    <w:p w14:paraId="3CB09485" w14:textId="5D3E85DC" w:rsidR="00D50E7F" w:rsidRDefault="00D50E7F" w:rsidP="00A21484">
      <w:pPr>
        <w:pStyle w:val="DFARS"/>
        <w:tabs>
          <w:tab w:val="clear" w:pos="810"/>
          <w:tab w:val="left" w:pos="806"/>
        </w:tabs>
        <w:rPr>
          <w:b/>
        </w:rPr>
      </w:pPr>
    </w:p>
    <w:p w14:paraId="42A23711" w14:textId="6D3B8AE0" w:rsidR="00D50E7F" w:rsidRDefault="00D50E7F" w:rsidP="00CC1DC9">
      <w:pPr>
        <w:pStyle w:val="DFARS"/>
        <w:tabs>
          <w:tab w:val="clear" w:pos="810"/>
          <w:tab w:val="left" w:pos="806"/>
        </w:tabs>
        <w:rPr>
          <w:b/>
        </w:rPr>
      </w:pPr>
      <w:r>
        <w:rPr>
          <w:b/>
        </w:rPr>
        <w:t>* * * * *</w:t>
      </w:r>
    </w:p>
    <w:p w14:paraId="19960639" w14:textId="77777777" w:rsidR="00D50E7F" w:rsidRDefault="00D50E7F" w:rsidP="00A21484">
      <w:pPr>
        <w:pStyle w:val="DFARS"/>
        <w:tabs>
          <w:tab w:val="clear" w:pos="810"/>
          <w:tab w:val="left" w:pos="806"/>
        </w:tabs>
        <w:rPr>
          <w:b/>
        </w:rPr>
      </w:pPr>
    </w:p>
    <w:p w14:paraId="6F04DD23" w14:textId="77777777" w:rsidR="003769B6" w:rsidRDefault="003769B6" w:rsidP="00AF7D08">
      <w:pPr>
        <w:pStyle w:val="DFARS"/>
        <w:tabs>
          <w:tab w:val="clear" w:pos="810"/>
          <w:tab w:val="left" w:pos="806"/>
        </w:tabs>
        <w:jc w:val="center"/>
        <w:rPr>
          <w:b/>
        </w:rPr>
      </w:pPr>
      <w:r>
        <w:rPr>
          <w:b/>
        </w:rPr>
        <w:t>SUBPART 219.2--POLICIES</w:t>
      </w:r>
    </w:p>
    <w:p w14:paraId="21899C58" w14:textId="77777777" w:rsidR="003769B6" w:rsidRDefault="003769B6" w:rsidP="00AF7D08">
      <w:pPr>
        <w:pStyle w:val="DFARS"/>
        <w:tabs>
          <w:tab w:val="clear" w:pos="810"/>
          <w:tab w:val="left" w:pos="806"/>
        </w:tabs>
        <w:rPr>
          <w:b/>
        </w:rPr>
      </w:pPr>
    </w:p>
    <w:p w14:paraId="373F8F25" w14:textId="77777777" w:rsidR="003769B6" w:rsidRDefault="003769B6" w:rsidP="00AF7D08">
      <w:pPr>
        <w:pStyle w:val="DFARS"/>
        <w:tabs>
          <w:tab w:val="clear" w:pos="810"/>
          <w:tab w:val="left" w:pos="806"/>
        </w:tabs>
        <w:rPr>
          <w:b/>
        </w:rPr>
      </w:pPr>
      <w:proofErr w:type="gramStart"/>
      <w:r>
        <w:rPr>
          <w:b/>
        </w:rPr>
        <w:t>219.201  General</w:t>
      </w:r>
      <w:proofErr w:type="gramEnd"/>
      <w:r>
        <w:rPr>
          <w:b/>
        </w:rPr>
        <w:t xml:space="preserve"> policy.</w:t>
      </w:r>
    </w:p>
    <w:p w14:paraId="1C635A9B" w14:textId="77777777" w:rsidR="003769B6" w:rsidRDefault="003769B6" w:rsidP="00AF7D08">
      <w:pPr>
        <w:pStyle w:val="DFARS"/>
        <w:tabs>
          <w:tab w:val="clear" w:pos="810"/>
          <w:tab w:val="left" w:pos="806"/>
        </w:tabs>
        <w:rPr>
          <w:b/>
        </w:rPr>
      </w:pPr>
    </w:p>
    <w:p w14:paraId="2A97AFD2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  <w:r>
        <w:tab/>
      </w:r>
      <w:r w:rsidRPr="00192DA7">
        <w:t>(</w:t>
      </w:r>
      <w:r w:rsidR="00F621BF" w:rsidRPr="00192DA7">
        <w:t>c</w:t>
      </w:r>
      <w:r w:rsidRPr="00192DA7">
        <w:t xml:space="preserve">)  For the defense agencies, the director of the Office of Small Business </w:t>
      </w:r>
      <w:r w:rsidR="00F44F1C" w:rsidRPr="00192DA7">
        <w:t>Programs</w:t>
      </w:r>
      <w:r w:rsidR="000E5AB6">
        <w:t xml:space="preserve"> </w:t>
      </w:r>
      <w:r w:rsidRPr="00192DA7">
        <w:t>must be appointed by, be responsible to, and report directly to the director or deputy director of the defense agency.</w:t>
      </w:r>
    </w:p>
    <w:p w14:paraId="1840D805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</w:p>
    <w:p w14:paraId="0AABEB4C" w14:textId="0150760A" w:rsidR="003769B6" w:rsidRPr="00192DA7" w:rsidRDefault="003769B6" w:rsidP="00AF7D08">
      <w:pPr>
        <w:pStyle w:val="DFARS"/>
        <w:tabs>
          <w:tab w:val="clear" w:pos="810"/>
          <w:tab w:val="left" w:pos="806"/>
        </w:tabs>
      </w:pPr>
      <w:r w:rsidRPr="00192DA7">
        <w:tab/>
      </w:r>
      <w:r w:rsidRPr="00192DA7">
        <w:tab/>
        <w:t xml:space="preserve">(8)  </w:t>
      </w:r>
      <w:r w:rsidR="0057336B">
        <w:t>* * *</w:t>
      </w:r>
      <w:bookmarkStart w:id="1" w:name="_GoBack"/>
      <w:bookmarkEnd w:id="1"/>
    </w:p>
    <w:p w14:paraId="006E6DEC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</w:p>
    <w:p w14:paraId="277BA9C3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  <w:r w:rsidRPr="00192DA7">
        <w:tab/>
      </w:r>
      <w:r w:rsidRPr="00192DA7">
        <w:tab/>
        <w:t>(10)  Contracting activity small business specialists perform this function by—</w:t>
      </w:r>
    </w:p>
    <w:p w14:paraId="4E2C6C11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</w:p>
    <w:p w14:paraId="193A9F6F" w14:textId="15373E4C" w:rsidR="003769B6" w:rsidRPr="00192DA7" w:rsidRDefault="003769B6" w:rsidP="00AF7D08">
      <w:pPr>
        <w:pStyle w:val="DFARS"/>
        <w:tabs>
          <w:tab w:val="clear" w:pos="810"/>
          <w:tab w:val="left" w:pos="806"/>
        </w:tabs>
      </w:pPr>
      <w:r w:rsidRPr="00192DA7">
        <w:tab/>
      </w:r>
      <w:r w:rsidRPr="00192DA7">
        <w:tab/>
      </w:r>
      <w:r w:rsidRPr="00192DA7">
        <w:tab/>
        <w:t xml:space="preserve">(A)  Reviewing and making recommendations for all acquisitions </w:t>
      </w:r>
      <w:r w:rsidR="009029A8" w:rsidRPr="00192DA7">
        <w:t xml:space="preserve">(including orders placed against Federal Supply Schedule contracts) </w:t>
      </w:r>
      <w:r w:rsidR="009029A8" w:rsidRPr="00765AFB">
        <w:t xml:space="preserve">over </w:t>
      </w:r>
      <w:r w:rsidR="009029A8" w:rsidRPr="00083337">
        <w:rPr>
          <w:strike/>
        </w:rPr>
        <w:t>$10,000</w:t>
      </w:r>
      <w:r w:rsidR="00F54DFD" w:rsidRPr="00F54DFD">
        <w:rPr>
          <w:b/>
        </w:rPr>
        <w:t>[</w:t>
      </w:r>
      <w:r w:rsidR="00434666">
        <w:rPr>
          <w:b/>
        </w:rPr>
        <w:t>the micro-purchase threshold</w:t>
      </w:r>
      <w:r w:rsidR="00FD05D6">
        <w:rPr>
          <w:b/>
        </w:rPr>
        <w:t xml:space="preserve"> (</w:t>
      </w:r>
      <w:r w:rsidR="0065643F">
        <w:rPr>
          <w:b/>
        </w:rPr>
        <w:t>see</w:t>
      </w:r>
      <w:r w:rsidR="00251211">
        <w:rPr>
          <w:b/>
        </w:rPr>
        <w:t xml:space="preserve"> </w:t>
      </w:r>
      <w:r w:rsidR="00FD05D6" w:rsidRPr="00FD05D6">
        <w:rPr>
          <w:rFonts w:cs="Courier New"/>
          <w:b/>
        </w:rPr>
        <w:t>FAR 19.502-2(a))</w:t>
      </w:r>
      <w:r w:rsidR="00F54DFD">
        <w:rPr>
          <w:b/>
        </w:rPr>
        <w:t>]</w:t>
      </w:r>
      <w:r w:rsidR="009029A8" w:rsidRPr="00192DA7">
        <w:t>, except those</w:t>
      </w:r>
      <w:r w:rsidR="002B4890" w:rsidRPr="00192DA7">
        <w:t xml:space="preserve"> </w:t>
      </w:r>
      <w:r w:rsidR="009029A8" w:rsidRPr="00192DA7">
        <w:t xml:space="preserve">under </w:t>
      </w:r>
      <w:r w:rsidR="004C17AF" w:rsidRPr="00192DA7">
        <w:t xml:space="preserve">the simplified acquisition threshold </w:t>
      </w:r>
      <w:r w:rsidR="009029A8" w:rsidRPr="00192DA7">
        <w:t>that are totally set aside for small business</w:t>
      </w:r>
      <w:r w:rsidR="002B4890" w:rsidRPr="00192DA7">
        <w:t xml:space="preserve"> </w:t>
      </w:r>
      <w:r w:rsidR="009029A8" w:rsidRPr="00192DA7">
        <w:t xml:space="preserve">concerns in accordance with FAR 19.502-2.  Follow the procedures at </w:t>
      </w:r>
      <w:hyperlink r:id="rId7" w:anchor="219.201" w:history="1">
        <w:r w:rsidR="009029A8" w:rsidRPr="00192DA7">
          <w:rPr>
            <w:rStyle w:val="Hyperlink"/>
          </w:rPr>
          <w:t>PGI</w:t>
        </w:r>
        <w:r w:rsidR="007A4C13" w:rsidRPr="00192DA7">
          <w:rPr>
            <w:rStyle w:val="Hyperlink"/>
          </w:rPr>
          <w:t xml:space="preserve"> </w:t>
        </w:r>
        <w:r w:rsidR="009029A8" w:rsidRPr="00192DA7">
          <w:rPr>
            <w:rStyle w:val="Hyperlink"/>
          </w:rPr>
          <w:t>219.201</w:t>
        </w:r>
      </w:hyperlink>
      <w:r w:rsidR="009029A8" w:rsidRPr="00192DA7">
        <w:t>(</w:t>
      </w:r>
      <w:r w:rsidR="007A4C13" w:rsidRPr="00192DA7">
        <w:t>c</w:t>
      </w:r>
      <w:r w:rsidR="009029A8" w:rsidRPr="00192DA7">
        <w:t>)(10) regarding such reviews.</w:t>
      </w:r>
    </w:p>
    <w:p w14:paraId="7903199F" w14:textId="77777777" w:rsidR="003769B6" w:rsidRPr="00192DA7" w:rsidRDefault="003769B6" w:rsidP="00AF7D08">
      <w:pPr>
        <w:pStyle w:val="DFARS"/>
        <w:tabs>
          <w:tab w:val="clear" w:pos="810"/>
          <w:tab w:val="left" w:pos="806"/>
        </w:tabs>
      </w:pPr>
    </w:p>
    <w:bookmarkEnd w:id="0"/>
    <w:p w14:paraId="104D1D56" w14:textId="03CD0D46" w:rsidR="00810A92" w:rsidRDefault="00A21484" w:rsidP="00083337">
      <w:pPr>
        <w:pStyle w:val="DFARS"/>
      </w:pPr>
      <w:r>
        <w:t>* * * * *</w:t>
      </w:r>
    </w:p>
    <w:p w14:paraId="1001CB73" w14:textId="2FE6ACFB" w:rsidR="00D50E7F" w:rsidRDefault="00D50E7F" w:rsidP="00083337">
      <w:pPr>
        <w:pStyle w:val="DFARS"/>
      </w:pPr>
    </w:p>
    <w:sectPr w:rsidR="00D50E7F" w:rsidSect="00DA0BE9">
      <w:headerReference w:type="default" r:id="rId8"/>
      <w:footerReference w:type="default" r:id="rId9"/>
      <w:footnotePr>
        <w:numStart w:val="0"/>
      </w:footnotePr>
      <w:type w:val="continuous"/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BC899" w16cid:durableId="25EC32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6F094" w14:textId="77777777" w:rsidR="009D34B6" w:rsidRDefault="009D34B6">
      <w:r>
        <w:separator/>
      </w:r>
    </w:p>
  </w:endnote>
  <w:endnote w:type="continuationSeparator" w:id="0">
    <w:p w14:paraId="0EBAF997" w14:textId="77777777" w:rsidR="009D34B6" w:rsidRDefault="009D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704" w14:textId="6AB84B36" w:rsidR="00083337" w:rsidRDefault="00CC1DC9" w:rsidP="00CC1DC9">
    <w:pPr>
      <w:pStyle w:val="Footer"/>
      <w:jc w:val="center"/>
      <w:rPr>
        <w:rFonts w:ascii="Century Schoolbook" w:hAnsi="Century Schoolbook"/>
        <w:b w:val="0"/>
        <w:sz w:val="20"/>
      </w:rPr>
    </w:pPr>
    <w:r w:rsidRPr="00CC1DC9">
      <w:rPr>
        <w:rFonts w:ascii="Century Schoolbook" w:hAnsi="Century Schoolbook"/>
        <w:b w:val="0"/>
        <w:sz w:val="20"/>
      </w:rPr>
      <w:fldChar w:fldCharType="begin"/>
    </w:r>
    <w:r w:rsidRPr="00CC1DC9">
      <w:rPr>
        <w:rFonts w:ascii="Century Schoolbook" w:hAnsi="Century Schoolbook"/>
        <w:b w:val="0"/>
        <w:sz w:val="20"/>
      </w:rPr>
      <w:instrText xml:space="preserve"> PAGE   \* MERGEFORMAT </w:instrText>
    </w:r>
    <w:r w:rsidRPr="00CC1DC9">
      <w:rPr>
        <w:rFonts w:ascii="Century Schoolbook" w:hAnsi="Century Schoolbook"/>
        <w:b w:val="0"/>
        <w:sz w:val="20"/>
      </w:rPr>
      <w:fldChar w:fldCharType="separate"/>
    </w:r>
    <w:r w:rsidR="00DC6EBB">
      <w:rPr>
        <w:rFonts w:ascii="Century Schoolbook" w:hAnsi="Century Schoolbook"/>
        <w:b w:val="0"/>
        <w:noProof/>
        <w:sz w:val="20"/>
      </w:rPr>
      <w:t>1</w:t>
    </w:r>
    <w:r w:rsidRPr="00CC1DC9">
      <w:rPr>
        <w:rFonts w:ascii="Century Schoolbook" w:hAnsi="Century Schoolbook"/>
        <w:b w:val="0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BA610" w14:textId="77777777" w:rsidR="009D34B6" w:rsidRDefault="009D34B6">
      <w:r>
        <w:separator/>
      </w:r>
    </w:p>
  </w:footnote>
  <w:footnote w:type="continuationSeparator" w:id="0">
    <w:p w14:paraId="5F08ABC7" w14:textId="77777777" w:rsidR="009D34B6" w:rsidRDefault="009D3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BF53" w14:textId="77777777" w:rsidR="00644009" w:rsidRDefault="00644009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11"/>
    <w:rsid w:val="00020E90"/>
    <w:rsid w:val="000254C1"/>
    <w:rsid w:val="000279CA"/>
    <w:rsid w:val="00035C41"/>
    <w:rsid w:val="0005468A"/>
    <w:rsid w:val="000658CC"/>
    <w:rsid w:val="00080129"/>
    <w:rsid w:val="00081910"/>
    <w:rsid w:val="00083337"/>
    <w:rsid w:val="000A3659"/>
    <w:rsid w:val="000B6C66"/>
    <w:rsid w:val="000E5AB6"/>
    <w:rsid w:val="00127DC6"/>
    <w:rsid w:val="00137325"/>
    <w:rsid w:val="00156602"/>
    <w:rsid w:val="00163355"/>
    <w:rsid w:val="00182A4D"/>
    <w:rsid w:val="00192DA7"/>
    <w:rsid w:val="001964EE"/>
    <w:rsid w:val="001A3BE5"/>
    <w:rsid w:val="001B4F4B"/>
    <w:rsid w:val="001D5711"/>
    <w:rsid w:val="001E22C1"/>
    <w:rsid w:val="00210B1B"/>
    <w:rsid w:val="00251211"/>
    <w:rsid w:val="0026522D"/>
    <w:rsid w:val="002B4890"/>
    <w:rsid w:val="002F4E3F"/>
    <w:rsid w:val="003547EA"/>
    <w:rsid w:val="00357BB2"/>
    <w:rsid w:val="003745A9"/>
    <w:rsid w:val="003769B6"/>
    <w:rsid w:val="00392F43"/>
    <w:rsid w:val="003B7679"/>
    <w:rsid w:val="003F145B"/>
    <w:rsid w:val="004134F8"/>
    <w:rsid w:val="00434666"/>
    <w:rsid w:val="00450A20"/>
    <w:rsid w:val="00486EA4"/>
    <w:rsid w:val="004A55D7"/>
    <w:rsid w:val="004A632E"/>
    <w:rsid w:val="004C17AF"/>
    <w:rsid w:val="004D281E"/>
    <w:rsid w:val="004E13A2"/>
    <w:rsid w:val="004F60D8"/>
    <w:rsid w:val="005268E2"/>
    <w:rsid w:val="00537403"/>
    <w:rsid w:val="00542778"/>
    <w:rsid w:val="0054789C"/>
    <w:rsid w:val="00550A24"/>
    <w:rsid w:val="0056417E"/>
    <w:rsid w:val="0057336B"/>
    <w:rsid w:val="00574007"/>
    <w:rsid w:val="00574E2D"/>
    <w:rsid w:val="00585239"/>
    <w:rsid w:val="005C5D10"/>
    <w:rsid w:val="005D487C"/>
    <w:rsid w:val="005E344C"/>
    <w:rsid w:val="006361B6"/>
    <w:rsid w:val="00644009"/>
    <w:rsid w:val="00650425"/>
    <w:rsid w:val="00656115"/>
    <w:rsid w:val="0065643F"/>
    <w:rsid w:val="00663A9C"/>
    <w:rsid w:val="0069096A"/>
    <w:rsid w:val="006910D3"/>
    <w:rsid w:val="0069181F"/>
    <w:rsid w:val="00693544"/>
    <w:rsid w:val="00693A15"/>
    <w:rsid w:val="006B7D67"/>
    <w:rsid w:val="006D0164"/>
    <w:rsid w:val="006D2B4B"/>
    <w:rsid w:val="006D3DC1"/>
    <w:rsid w:val="006E5A59"/>
    <w:rsid w:val="006F54DC"/>
    <w:rsid w:val="00730FA5"/>
    <w:rsid w:val="00762EDB"/>
    <w:rsid w:val="00765AFB"/>
    <w:rsid w:val="007A4C13"/>
    <w:rsid w:val="007D7B37"/>
    <w:rsid w:val="00810A92"/>
    <w:rsid w:val="008837E8"/>
    <w:rsid w:val="008E791F"/>
    <w:rsid w:val="009029A8"/>
    <w:rsid w:val="00944E52"/>
    <w:rsid w:val="00962626"/>
    <w:rsid w:val="0096434B"/>
    <w:rsid w:val="00972A8B"/>
    <w:rsid w:val="00996BEA"/>
    <w:rsid w:val="009D34B6"/>
    <w:rsid w:val="00A0481E"/>
    <w:rsid w:val="00A21484"/>
    <w:rsid w:val="00A25D72"/>
    <w:rsid w:val="00A650D3"/>
    <w:rsid w:val="00AC6416"/>
    <w:rsid w:val="00AE3993"/>
    <w:rsid w:val="00AF7D08"/>
    <w:rsid w:val="00B044A0"/>
    <w:rsid w:val="00B0458F"/>
    <w:rsid w:val="00B746ED"/>
    <w:rsid w:val="00BA7DA0"/>
    <w:rsid w:val="00C0026B"/>
    <w:rsid w:val="00C2164D"/>
    <w:rsid w:val="00C564B1"/>
    <w:rsid w:val="00C77858"/>
    <w:rsid w:val="00CC1DC9"/>
    <w:rsid w:val="00CC2782"/>
    <w:rsid w:val="00CC3B39"/>
    <w:rsid w:val="00CE3092"/>
    <w:rsid w:val="00D151DE"/>
    <w:rsid w:val="00D50E7F"/>
    <w:rsid w:val="00DA081C"/>
    <w:rsid w:val="00DA0BE9"/>
    <w:rsid w:val="00DC6EBB"/>
    <w:rsid w:val="00DD78A1"/>
    <w:rsid w:val="00DE2354"/>
    <w:rsid w:val="00E00091"/>
    <w:rsid w:val="00E25A50"/>
    <w:rsid w:val="00E264E1"/>
    <w:rsid w:val="00E37654"/>
    <w:rsid w:val="00E44CB5"/>
    <w:rsid w:val="00E64982"/>
    <w:rsid w:val="00E945C5"/>
    <w:rsid w:val="00ED3396"/>
    <w:rsid w:val="00EF3603"/>
    <w:rsid w:val="00F1764C"/>
    <w:rsid w:val="00F247F6"/>
    <w:rsid w:val="00F44F1C"/>
    <w:rsid w:val="00F54DFD"/>
    <w:rsid w:val="00F621BF"/>
    <w:rsid w:val="00F726D0"/>
    <w:rsid w:val="00FA5F05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82D1B2"/>
  <w15:chartTrackingRefBased/>
  <w15:docId w15:val="{123337A2-9C27-4CC3-8B65-B246492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BalloonText">
    <w:name w:val="Balloon Text"/>
    <w:basedOn w:val="Normal"/>
    <w:semiHidden/>
    <w:rsid w:val="001B4F4B"/>
    <w:rPr>
      <w:rFonts w:ascii="Tahoma" w:hAnsi="Tahoma" w:cs="Tahoma"/>
      <w:sz w:val="16"/>
      <w:szCs w:val="16"/>
    </w:rPr>
  </w:style>
  <w:style w:type="character" w:styleId="Hyperlink">
    <w:name w:val="Hyperlink"/>
    <w:rsid w:val="00693544"/>
    <w:rPr>
      <w:color w:val="0000FF"/>
      <w:u w:val="single"/>
    </w:rPr>
  </w:style>
  <w:style w:type="character" w:styleId="FollowedHyperlink">
    <w:name w:val="FollowedHyperlink"/>
    <w:rsid w:val="000E5AB6"/>
    <w:rPr>
      <w:color w:val="800080"/>
      <w:u w:val="single"/>
    </w:rPr>
  </w:style>
  <w:style w:type="character" w:customStyle="1" w:styleId="DFARSChar">
    <w:name w:val="DFARS Char"/>
    <w:link w:val="DFARS"/>
    <w:rsid w:val="0005468A"/>
    <w:rPr>
      <w:rFonts w:ascii="Century Schoolbook" w:hAnsi="Century Schoolbook"/>
      <w:spacing w:val="-5"/>
      <w:kern w:val="20"/>
      <w:sz w:val="24"/>
    </w:rPr>
  </w:style>
  <w:style w:type="paragraph" w:customStyle="1" w:styleId="pbody">
    <w:name w:val="pbody"/>
    <w:basedOn w:val="Normal"/>
    <w:rsid w:val="0005468A"/>
    <w:pPr>
      <w:tabs>
        <w:tab w:val="clear" w:pos="1000"/>
      </w:tabs>
      <w:spacing w:line="288" w:lineRule="auto"/>
      <w:ind w:left="0" w:firstLine="240"/>
    </w:pPr>
    <w:rPr>
      <w:rFonts w:ascii="Arial" w:hAnsi="Arial" w:cs="Arial"/>
      <w:b w:val="0"/>
      <w:color w:val="000000"/>
      <w:sz w:val="20"/>
    </w:rPr>
  </w:style>
  <w:style w:type="character" w:styleId="LineNumber">
    <w:name w:val="line number"/>
    <w:basedOn w:val="DefaultParagraphFont"/>
    <w:rsid w:val="00083337"/>
  </w:style>
  <w:style w:type="character" w:customStyle="1" w:styleId="FooterChar">
    <w:name w:val="Footer Char"/>
    <w:basedOn w:val="DefaultParagraphFont"/>
    <w:link w:val="Footer"/>
    <w:uiPriority w:val="99"/>
    <w:rsid w:val="00A0481E"/>
    <w:rPr>
      <w:b/>
      <w:sz w:val="24"/>
    </w:rPr>
  </w:style>
  <w:style w:type="character" w:styleId="CommentReference">
    <w:name w:val="annotation reference"/>
    <w:basedOn w:val="DefaultParagraphFont"/>
    <w:rsid w:val="00A25D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5D7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25D72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A25D72"/>
    <w:rPr>
      <w:bCs/>
    </w:rPr>
  </w:style>
  <w:style w:type="character" w:customStyle="1" w:styleId="CommentSubjectChar">
    <w:name w:val="Comment Subject Char"/>
    <w:basedOn w:val="CommentTextChar"/>
    <w:link w:val="CommentSubject"/>
    <w:rsid w:val="00A25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cq.osd.mil/dpap/dars/pgi/pgi_htm/PGI219_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00E4-0F2E-4559-A862-C22D094D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Links>
    <vt:vector size="30" baseType="variant">
      <vt:variant>
        <vt:i4>917531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http://www.acq.osd.mil/dpap/dars/pgi/pgi_htm/PGI205_2.htm</vt:lpwstr>
      </vt:variant>
      <vt:variant>
        <vt:lpwstr>205.207</vt:lpwstr>
      </vt:variant>
      <vt:variant>
        <vt:i4>917531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http://www.acq.osd.mil/dpap/dars/pgi/pgi_htm/PGI219_2.htm</vt:lpwstr>
      </vt:variant>
      <vt:variant>
        <vt:lpwstr>219.201</vt:lpwstr>
      </vt:variant>
      <vt:variant>
        <vt:i4>983156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http://www.acq.osd.mil/dpap/dars/dfars/html/current/207_1.htm</vt:lpwstr>
      </vt:variant>
      <vt:variant>
        <vt:lpwstr>207.170</vt:lpwstr>
      </vt:variant>
      <vt:variant>
        <vt:i4>2293804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http://www.acq.osd.mil/dpap/dars/pgi/pgi_htm/PGI253_219.htm</vt:lpwstr>
      </vt:variant>
      <vt:variant>
        <vt:lpwstr>253.219-70</vt:lpwstr>
      </vt:variant>
      <vt:variant>
        <vt:i4>917531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http://www.acq.osd.mil/dpap/dars/pgi/pgi_htm/PGI219_2.htm</vt:lpwstr>
      </vt:variant>
      <vt:variant>
        <vt:lpwstr>219.201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Jennifer D CIV OSD OUSD A-S (USA)</dc:creator>
  <cp:keywords/>
  <cp:lastModifiedBy>Johnson, Jennifer D CIV OSD OUSD A-S (USA)</cp:lastModifiedBy>
  <cp:revision>10</cp:revision>
  <dcterms:created xsi:type="dcterms:W3CDTF">2022-05-02T20:11:00Z</dcterms:created>
  <dcterms:modified xsi:type="dcterms:W3CDTF">2022-05-18T18:36:00Z</dcterms:modified>
</cp:coreProperties>
</file>