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7068B" w14:textId="250BAB26" w:rsidR="004067E1" w:rsidRPr="004067E1" w:rsidRDefault="00672617" w:rsidP="00981A87">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bookmarkStart w:id="0" w:name="P538_103932"/>
      <w:bookmarkStart w:id="1" w:name="216.406"/>
      <w:bookmarkStart w:id="2" w:name="BM216_4"/>
      <w:bookmarkStart w:id="3" w:name="_GoBack"/>
      <w:bookmarkEnd w:id="0"/>
      <w:bookmarkEnd w:id="3"/>
      <w:r w:rsidRPr="009F1DC6">
        <w:rPr>
          <w:rFonts w:ascii="Century Schoolbook" w:eastAsia="Times New Roman" w:hAnsi="Century Schoolbook" w:cs="Courier New"/>
          <w:b/>
          <w:bCs/>
          <w:sz w:val="24"/>
          <w:szCs w:val="24"/>
        </w:rPr>
        <w:t>D</w:t>
      </w:r>
      <w:r w:rsidR="003204AE">
        <w:rPr>
          <w:rFonts w:ascii="Century Schoolbook" w:eastAsia="Times New Roman" w:hAnsi="Century Schoolbook" w:cs="Courier New"/>
          <w:b/>
          <w:bCs/>
          <w:sz w:val="24"/>
          <w:szCs w:val="24"/>
        </w:rPr>
        <w:t xml:space="preserve">FARS Case </w:t>
      </w:r>
      <w:r w:rsidR="00247370">
        <w:rPr>
          <w:rFonts w:ascii="Century Schoolbook" w:eastAsia="Times New Roman" w:hAnsi="Century Schoolbook" w:cs="Courier New"/>
          <w:b/>
          <w:bCs/>
          <w:sz w:val="24"/>
          <w:szCs w:val="24"/>
        </w:rPr>
        <w:t>2022-D007</w:t>
      </w:r>
    </w:p>
    <w:p w14:paraId="1132DA9D" w14:textId="551A7A20" w:rsidR="004067E1" w:rsidRDefault="00247370" w:rsidP="00981A87">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sz w:val="24"/>
          <w:szCs w:val="24"/>
          <w:shd w:val="clear" w:color="auto" w:fill="FFFFFF"/>
        </w:rPr>
      </w:pPr>
      <w:r>
        <w:rPr>
          <w:rFonts w:ascii="Century Schoolbook" w:eastAsia="Times New Roman" w:hAnsi="Century Schoolbook" w:cs="Courier New"/>
          <w:b/>
          <w:sz w:val="24"/>
          <w:szCs w:val="24"/>
          <w:shd w:val="clear" w:color="auto" w:fill="FFFFFF"/>
        </w:rPr>
        <w:t>(S) Repeal of Preference for Fixed-Price Contracts</w:t>
      </w:r>
    </w:p>
    <w:p w14:paraId="66F983E3" w14:textId="60375AB0" w:rsidR="00672617" w:rsidRPr="009F1DC6" w:rsidRDefault="00B315D6" w:rsidP="00981A87">
      <w:pPr>
        <w:tabs>
          <w:tab w:val="left" w:pos="360"/>
          <w:tab w:val="left" w:pos="806"/>
          <w:tab w:val="left" w:pos="1210"/>
          <w:tab w:val="left" w:pos="1656"/>
          <w:tab w:val="left" w:pos="2131"/>
          <w:tab w:val="left" w:pos="2520"/>
        </w:tabs>
        <w:spacing w:after="0" w:line="240" w:lineRule="exact"/>
        <w:jc w:val="center"/>
        <w:outlineLvl w:val="3"/>
        <w:rPr>
          <w:rFonts w:ascii="Century Schoolbook" w:eastAsia="Times New Roman" w:hAnsi="Century Schoolbook" w:cs="Courier New"/>
          <w:b/>
          <w:bCs/>
          <w:sz w:val="24"/>
          <w:szCs w:val="24"/>
        </w:rPr>
      </w:pPr>
      <w:r>
        <w:rPr>
          <w:rFonts w:ascii="Century Schoolbook" w:eastAsia="Times New Roman" w:hAnsi="Century Schoolbook" w:cs="Courier New"/>
          <w:b/>
          <w:bCs/>
          <w:sz w:val="24"/>
          <w:szCs w:val="24"/>
        </w:rPr>
        <w:t>Final</w:t>
      </w:r>
      <w:r w:rsidR="004F11A6">
        <w:rPr>
          <w:rFonts w:ascii="Century Schoolbook" w:eastAsia="Times New Roman" w:hAnsi="Century Schoolbook" w:cs="Courier New"/>
          <w:b/>
          <w:bCs/>
          <w:sz w:val="24"/>
          <w:szCs w:val="24"/>
        </w:rPr>
        <w:t xml:space="preserve"> </w:t>
      </w:r>
      <w:r w:rsidR="00672617" w:rsidRPr="009F1DC6">
        <w:rPr>
          <w:rFonts w:ascii="Century Schoolbook" w:eastAsia="Times New Roman" w:hAnsi="Century Schoolbook" w:cs="Courier New"/>
          <w:b/>
          <w:bCs/>
          <w:sz w:val="24"/>
          <w:szCs w:val="24"/>
        </w:rPr>
        <w:t>Rule</w:t>
      </w:r>
    </w:p>
    <w:p w14:paraId="1EA12918" w14:textId="77777777" w:rsidR="00C06DD6" w:rsidRPr="009F1DC6" w:rsidRDefault="00C06DD6" w:rsidP="00981A87">
      <w:pPr>
        <w:tabs>
          <w:tab w:val="left" w:pos="360"/>
          <w:tab w:val="left" w:pos="806"/>
          <w:tab w:val="left" w:pos="1210"/>
          <w:tab w:val="left" w:pos="1656"/>
          <w:tab w:val="left" w:pos="2131"/>
          <w:tab w:val="left" w:pos="2520"/>
        </w:tabs>
        <w:spacing w:after="0" w:line="240" w:lineRule="exact"/>
        <w:outlineLvl w:val="3"/>
        <w:rPr>
          <w:rFonts w:ascii="Century Schoolbook" w:eastAsia="Times New Roman" w:hAnsi="Century Schoolbook" w:cs="Courier New"/>
          <w:bCs/>
          <w:sz w:val="24"/>
          <w:szCs w:val="24"/>
        </w:rPr>
      </w:pPr>
    </w:p>
    <w:p w14:paraId="27B2413B" w14:textId="212BFC22" w:rsidR="00C06DD6" w:rsidRPr="00AB656C" w:rsidRDefault="00247370">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PART 216—TYPES OF CONTRACTS</w:t>
      </w:r>
    </w:p>
    <w:p w14:paraId="7C7D4128" w14:textId="77777777" w:rsidR="00C06DD6" w:rsidRDefault="00C06DD6">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C399BBB" w14:textId="77777777" w:rsidR="00AB656C" w:rsidRPr="00C06DD6" w:rsidRDefault="00AB656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C06DD6">
        <w:rPr>
          <w:rFonts w:ascii="Century Schoolbook" w:eastAsia="Times New Roman" w:hAnsi="Century Schoolbook" w:cs="Times New Roman"/>
          <w:spacing w:val="-5"/>
          <w:kern w:val="20"/>
          <w:sz w:val="24"/>
          <w:szCs w:val="20"/>
        </w:rPr>
        <w:t>* * * * *</w:t>
      </w:r>
    </w:p>
    <w:p w14:paraId="79184D0A" w14:textId="77777777" w:rsidR="004067E1" w:rsidRPr="004067E1" w:rsidRDefault="004067E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101BFBD3" w14:textId="04B36DF8" w:rsidR="00247370" w:rsidRDefault="00247370">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b/>
          <w:spacing w:val="-5"/>
          <w:kern w:val="20"/>
          <w:sz w:val="24"/>
          <w:szCs w:val="20"/>
        </w:rPr>
      </w:pPr>
      <w:r>
        <w:rPr>
          <w:rFonts w:ascii="Century Schoolbook" w:eastAsia="Times New Roman" w:hAnsi="Century Schoolbook" w:cs="Courier New"/>
          <w:b/>
          <w:spacing w:val="-5"/>
          <w:kern w:val="20"/>
          <w:sz w:val="24"/>
          <w:szCs w:val="20"/>
        </w:rPr>
        <w:t>SUBPART 2</w:t>
      </w:r>
      <w:r w:rsidR="00CB3365">
        <w:rPr>
          <w:rFonts w:ascii="Century Schoolbook" w:eastAsia="Times New Roman" w:hAnsi="Century Schoolbook" w:cs="Courier New"/>
          <w:b/>
          <w:spacing w:val="-5"/>
          <w:kern w:val="20"/>
          <w:sz w:val="24"/>
          <w:szCs w:val="20"/>
        </w:rPr>
        <w:t>1</w:t>
      </w:r>
      <w:r>
        <w:rPr>
          <w:rFonts w:ascii="Century Schoolbook" w:eastAsia="Times New Roman" w:hAnsi="Century Schoolbook" w:cs="Courier New"/>
          <w:b/>
          <w:spacing w:val="-5"/>
          <w:kern w:val="20"/>
          <w:sz w:val="24"/>
          <w:szCs w:val="20"/>
        </w:rPr>
        <w:t>6.1---SELECTING CONTRACT TYPES</w:t>
      </w:r>
    </w:p>
    <w:p w14:paraId="7576C3D5" w14:textId="7F4C1F89" w:rsidR="00247370" w:rsidRDefault="00247370">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Courier New"/>
          <w:i/>
          <w:strike/>
          <w:spacing w:val="-5"/>
          <w:kern w:val="20"/>
          <w:sz w:val="24"/>
          <w:szCs w:val="20"/>
        </w:rPr>
      </w:pPr>
    </w:p>
    <w:p w14:paraId="2662CB6C" w14:textId="377EBDBA" w:rsidR="00247370" w:rsidRDefault="00247370">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roofErr w:type="gramStart"/>
      <w:r>
        <w:rPr>
          <w:rFonts w:ascii="Century Schoolbook" w:eastAsia="Times New Roman" w:hAnsi="Century Schoolbook" w:cs="Courier New"/>
          <w:b/>
          <w:spacing w:val="-5"/>
          <w:kern w:val="20"/>
          <w:sz w:val="24"/>
          <w:szCs w:val="20"/>
        </w:rPr>
        <w:t xml:space="preserve">216.102 </w:t>
      </w:r>
      <w:r w:rsidR="00E9205F">
        <w:rPr>
          <w:rFonts w:ascii="Century Schoolbook" w:eastAsia="Times New Roman" w:hAnsi="Century Schoolbook" w:cs="Courier New"/>
          <w:b/>
          <w:spacing w:val="-5"/>
          <w:kern w:val="20"/>
          <w:sz w:val="24"/>
          <w:szCs w:val="20"/>
        </w:rPr>
        <w:t xml:space="preserve"> </w:t>
      </w:r>
      <w:r>
        <w:rPr>
          <w:rFonts w:ascii="Century Schoolbook" w:eastAsia="Times New Roman" w:hAnsi="Century Schoolbook" w:cs="Courier New"/>
          <w:b/>
          <w:spacing w:val="-5"/>
          <w:kern w:val="20"/>
          <w:sz w:val="24"/>
          <w:szCs w:val="20"/>
        </w:rPr>
        <w:t>Policies</w:t>
      </w:r>
      <w:proofErr w:type="gramEnd"/>
      <w:r w:rsidR="00ED4D76">
        <w:rPr>
          <w:rFonts w:ascii="Century Schoolbook" w:eastAsia="Times New Roman" w:hAnsi="Century Schoolbook" w:cs="Courier New"/>
          <w:b/>
          <w:spacing w:val="-5"/>
          <w:kern w:val="20"/>
          <w:sz w:val="24"/>
          <w:szCs w:val="20"/>
        </w:rPr>
        <w:t>.</w:t>
      </w:r>
    </w:p>
    <w:p w14:paraId="5AA05058" w14:textId="324F9286" w:rsidR="00247370" w:rsidRDefault="00247370">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6F22CFF2" w14:textId="5CCCDA20" w:rsidR="00247370" w:rsidRPr="00247370" w:rsidRDefault="00C6131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trike/>
          <w:spacing w:val="-5"/>
          <w:kern w:val="20"/>
          <w:sz w:val="24"/>
          <w:szCs w:val="20"/>
        </w:rPr>
      </w:pPr>
      <w:r>
        <w:rPr>
          <w:rFonts w:ascii="Century Schoolbook" w:eastAsia="Times New Roman" w:hAnsi="Century Schoolbook" w:cs="Courier New"/>
          <w:spacing w:val="-5"/>
          <w:kern w:val="20"/>
          <w:sz w:val="24"/>
          <w:szCs w:val="20"/>
        </w:rPr>
        <w:tab/>
      </w:r>
      <w:r w:rsidR="00247370" w:rsidRPr="00247370">
        <w:rPr>
          <w:rFonts w:ascii="Century Schoolbook" w:eastAsia="Times New Roman" w:hAnsi="Century Schoolbook" w:cs="Courier New"/>
          <w:strike/>
          <w:spacing w:val="-5"/>
          <w:kern w:val="20"/>
          <w:sz w:val="24"/>
          <w:szCs w:val="20"/>
        </w:rPr>
        <w:t>(1</w:t>
      </w:r>
      <w:r w:rsidR="00247370">
        <w:rPr>
          <w:rFonts w:ascii="Century Schoolbook" w:eastAsia="Times New Roman" w:hAnsi="Century Schoolbook" w:cs="Courier New"/>
          <w:strike/>
          <w:spacing w:val="-5"/>
          <w:kern w:val="20"/>
          <w:sz w:val="24"/>
          <w:szCs w:val="20"/>
        </w:rPr>
        <w:t xml:space="preserve">) </w:t>
      </w:r>
      <w:r w:rsidR="00247370" w:rsidRPr="00247370">
        <w:rPr>
          <w:rFonts w:ascii="Century Schoolbook" w:eastAsia="Times New Roman" w:hAnsi="Century Schoolbook" w:cs="Courier New"/>
          <w:strike/>
          <w:spacing w:val="-5"/>
          <w:kern w:val="20"/>
          <w:sz w:val="24"/>
          <w:szCs w:val="20"/>
        </w:rPr>
        <w:t xml:space="preserve">In accordance with section 829 of the National Defense Authorization Act for Fiscal Year 2017 (Pub. L. 114-328), the contracting officer shall first consider the use of fixed price contracts, including fixed-price incentive contracts, in the determination of contract type.  See </w:t>
      </w:r>
      <w:hyperlink r:id="rId8" w:anchor="216.301-3" w:history="1">
        <w:r w:rsidR="00247370" w:rsidRPr="00247370">
          <w:rPr>
            <w:rStyle w:val="Hyperlink"/>
            <w:rFonts w:ascii="Century Schoolbook" w:eastAsia="Times New Roman" w:hAnsi="Century Schoolbook" w:cs="Courier New"/>
            <w:bCs/>
            <w:strike/>
            <w:spacing w:val="-5"/>
            <w:kern w:val="20"/>
            <w:sz w:val="24"/>
            <w:szCs w:val="20"/>
          </w:rPr>
          <w:t>216.301-3</w:t>
        </w:r>
      </w:hyperlink>
      <w:r w:rsidR="00247370" w:rsidRPr="00247370">
        <w:rPr>
          <w:rFonts w:ascii="Century Schoolbook" w:eastAsia="Times New Roman" w:hAnsi="Century Schoolbook" w:cs="Courier New"/>
          <w:bCs/>
          <w:strike/>
          <w:spacing w:val="-5"/>
          <w:kern w:val="20"/>
          <w:sz w:val="24"/>
          <w:szCs w:val="20"/>
        </w:rPr>
        <w:t>(2) for approval requirements for certain cost-reimbursement contracts.</w:t>
      </w:r>
    </w:p>
    <w:p w14:paraId="31B4FA3E" w14:textId="078ADED6" w:rsidR="00247370" w:rsidRPr="00981A87" w:rsidRDefault="00247370">
      <w:pPr>
        <w:tabs>
          <w:tab w:val="left" w:pos="360"/>
          <w:tab w:val="left" w:pos="810"/>
          <w:tab w:val="left" w:pos="1210"/>
          <w:tab w:val="left" w:pos="1656"/>
          <w:tab w:val="left" w:pos="2131"/>
          <w:tab w:val="left" w:pos="2520"/>
        </w:tabs>
        <w:spacing w:after="0" w:line="240" w:lineRule="exact"/>
        <w:rPr>
          <w:rFonts w:ascii="Century Schoolbook" w:hAnsi="Century Schoolbook"/>
          <w:bCs/>
          <w:sz w:val="24"/>
          <w:szCs w:val="24"/>
        </w:rPr>
      </w:pPr>
    </w:p>
    <w:p w14:paraId="265A982F" w14:textId="319B70D1" w:rsidR="00247370" w:rsidRDefault="00C6131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r w:rsidRPr="00023E59">
        <w:rPr>
          <w:rFonts w:ascii="Century Schoolbook" w:eastAsia="Times New Roman" w:hAnsi="Century Schoolbook" w:cs="Courier New"/>
          <w:bCs/>
          <w:strike/>
          <w:spacing w:val="-5"/>
          <w:kern w:val="20"/>
          <w:sz w:val="24"/>
          <w:szCs w:val="20"/>
        </w:rPr>
        <w:tab/>
      </w:r>
      <w:r w:rsidR="00247370" w:rsidRPr="00DC7831">
        <w:rPr>
          <w:rFonts w:ascii="Century Schoolbook" w:eastAsia="Times New Roman" w:hAnsi="Century Schoolbook" w:cs="Courier New"/>
          <w:bCs/>
          <w:strike/>
          <w:spacing w:val="-5"/>
          <w:kern w:val="20"/>
          <w:sz w:val="24"/>
          <w:szCs w:val="20"/>
        </w:rPr>
        <w:t>(2</w:t>
      </w:r>
      <w:r w:rsidR="00247370">
        <w:rPr>
          <w:rFonts w:ascii="Century Schoolbook" w:eastAsia="Times New Roman" w:hAnsi="Century Schoolbook" w:cs="Courier New"/>
          <w:bCs/>
          <w:strike/>
          <w:spacing w:val="-5"/>
          <w:kern w:val="20"/>
          <w:sz w:val="24"/>
          <w:szCs w:val="20"/>
        </w:rPr>
        <w:t>)</w:t>
      </w:r>
      <w:r w:rsidR="00247370">
        <w:rPr>
          <w:rFonts w:ascii="Century Schoolbook" w:eastAsia="Times New Roman" w:hAnsi="Century Schoolbook" w:cs="Courier New"/>
          <w:bCs/>
          <w:spacing w:val="-5"/>
          <w:kern w:val="20"/>
          <w:sz w:val="24"/>
          <w:szCs w:val="20"/>
        </w:rPr>
        <w:t xml:space="preserve"> In accordance with section 811 of the National Defense Authorization Act for Fiscal Year 2013 (Pub. L. 112-239), use of any cost-reimbursement line item for the acquisition of production of major defense acquisition programs is prohibited</w:t>
      </w:r>
      <w:r w:rsidR="00BF020E" w:rsidRPr="00981A87">
        <w:rPr>
          <w:rFonts w:ascii="Century Schoolbook" w:eastAsia="Times New Roman" w:hAnsi="Century Schoolbook" w:cs="Courier New"/>
          <w:b/>
          <w:bCs/>
          <w:spacing w:val="-5"/>
          <w:kern w:val="20"/>
          <w:sz w:val="24"/>
          <w:szCs w:val="20"/>
        </w:rPr>
        <w:t>[</w:t>
      </w:r>
      <w:r w:rsidR="00247370" w:rsidRPr="00981A87">
        <w:rPr>
          <w:rFonts w:ascii="Century Schoolbook" w:eastAsia="Times New Roman" w:hAnsi="Century Schoolbook" w:cs="Courier New"/>
          <w:b/>
          <w:bCs/>
          <w:spacing w:val="-5"/>
          <w:kern w:val="20"/>
          <w:sz w:val="24"/>
          <w:szCs w:val="20"/>
        </w:rPr>
        <w:t>,</w:t>
      </w:r>
      <w:r w:rsidR="00BF020E" w:rsidRPr="00981A87">
        <w:rPr>
          <w:rFonts w:ascii="Century Schoolbook" w:eastAsia="Times New Roman" w:hAnsi="Century Schoolbook" w:cs="Courier New"/>
          <w:b/>
          <w:bCs/>
          <w:spacing w:val="-5"/>
          <w:kern w:val="20"/>
          <w:sz w:val="24"/>
          <w:szCs w:val="20"/>
        </w:rPr>
        <w:t>]</w:t>
      </w:r>
      <w:r w:rsidR="00247370">
        <w:rPr>
          <w:rFonts w:ascii="Century Schoolbook" w:eastAsia="Times New Roman" w:hAnsi="Century Schoolbook" w:cs="Courier New"/>
          <w:bCs/>
          <w:spacing w:val="-5"/>
          <w:kern w:val="20"/>
          <w:sz w:val="24"/>
          <w:szCs w:val="20"/>
        </w:rPr>
        <w:t xml:space="preserve"> unless the exception at </w:t>
      </w:r>
      <w:hyperlink r:id="rId9" w:anchor="234.004" w:history="1">
        <w:r w:rsidR="00247370" w:rsidRPr="00494C08">
          <w:rPr>
            <w:rStyle w:val="Hyperlink"/>
            <w:rFonts w:ascii="Century Schoolbook" w:eastAsia="Times New Roman" w:hAnsi="Century Schoolbook" w:cs="Courier New"/>
            <w:bCs/>
            <w:spacing w:val="-5"/>
            <w:kern w:val="20"/>
            <w:sz w:val="24"/>
            <w:szCs w:val="20"/>
          </w:rPr>
          <w:t>234.004</w:t>
        </w:r>
      </w:hyperlink>
      <w:r w:rsidR="00247370" w:rsidRPr="00494C08">
        <w:rPr>
          <w:rFonts w:ascii="Century Schoolbook" w:eastAsia="Times New Roman" w:hAnsi="Century Schoolbook" w:cs="Courier New"/>
          <w:bCs/>
          <w:spacing w:val="-5"/>
          <w:kern w:val="20"/>
          <w:sz w:val="24"/>
          <w:szCs w:val="20"/>
        </w:rPr>
        <w:t>(2)(ii)</w:t>
      </w:r>
      <w:r w:rsidR="00247370">
        <w:rPr>
          <w:rFonts w:ascii="Century Schoolbook" w:eastAsia="Times New Roman" w:hAnsi="Century Schoolbook" w:cs="Courier New"/>
          <w:bCs/>
          <w:spacing w:val="-5"/>
          <w:kern w:val="20"/>
          <w:sz w:val="24"/>
          <w:szCs w:val="20"/>
        </w:rPr>
        <w:t xml:space="preserve"> applies.</w:t>
      </w:r>
    </w:p>
    <w:p w14:paraId="20B635C2" w14:textId="258C4E86" w:rsidR="00247370" w:rsidRDefault="00247370">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p>
    <w:p w14:paraId="587FCFB4" w14:textId="7467264B" w:rsidR="00247370" w:rsidRPr="00FD1338" w:rsidRDefault="00C6131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trike/>
          <w:spacing w:val="-5"/>
          <w:kern w:val="20"/>
          <w:sz w:val="24"/>
          <w:szCs w:val="20"/>
        </w:rPr>
      </w:pPr>
      <w:r>
        <w:rPr>
          <w:rFonts w:ascii="Century Schoolbook" w:eastAsia="Times New Roman" w:hAnsi="Century Schoolbook" w:cs="Courier New"/>
          <w:bCs/>
          <w:spacing w:val="-5"/>
          <w:kern w:val="20"/>
          <w:sz w:val="24"/>
          <w:szCs w:val="20"/>
        </w:rPr>
        <w:tab/>
      </w:r>
      <w:r w:rsidR="00247370" w:rsidRPr="00FD1338">
        <w:rPr>
          <w:rFonts w:ascii="Century Schoolbook" w:eastAsia="Times New Roman" w:hAnsi="Century Schoolbook" w:cs="Courier New"/>
          <w:bCs/>
          <w:strike/>
          <w:spacing w:val="-5"/>
          <w:kern w:val="20"/>
          <w:sz w:val="24"/>
          <w:szCs w:val="20"/>
        </w:rPr>
        <w:t xml:space="preserve">(3)  See </w:t>
      </w:r>
      <w:hyperlink r:id="rId10" w:anchor="225.7301-1" w:history="1">
        <w:r w:rsidR="00247370" w:rsidRPr="00FD1338">
          <w:rPr>
            <w:rStyle w:val="Hyperlink"/>
            <w:rFonts w:ascii="Century Schoolbook" w:eastAsia="Times New Roman" w:hAnsi="Century Schoolbook" w:cs="Courier New"/>
            <w:bCs/>
            <w:strike/>
            <w:spacing w:val="-5"/>
            <w:kern w:val="20"/>
            <w:sz w:val="24"/>
            <w:szCs w:val="20"/>
          </w:rPr>
          <w:t>225.7301-1</w:t>
        </w:r>
      </w:hyperlink>
      <w:r w:rsidR="00247370" w:rsidRPr="00FD1338">
        <w:rPr>
          <w:rFonts w:ascii="Century Schoolbook" w:eastAsia="Times New Roman" w:hAnsi="Century Schoolbook" w:cs="Courier New"/>
          <w:bCs/>
          <w:strike/>
          <w:spacing w:val="-5"/>
          <w:kern w:val="20"/>
          <w:sz w:val="24"/>
          <w:szCs w:val="20"/>
        </w:rPr>
        <w:t xml:space="preserve"> for the requirement to use fixed-price contracts for acquisitions for foreign military sales.</w:t>
      </w:r>
    </w:p>
    <w:p w14:paraId="12AD2E01" w14:textId="77777777" w:rsidR="00247370" w:rsidRDefault="00247370">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p>
    <w:p w14:paraId="71A04783" w14:textId="77777777" w:rsidR="00247370" w:rsidRDefault="00247370">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p>
    <w:p w14:paraId="75936752" w14:textId="550CA910" w:rsidR="00247370" w:rsidRDefault="00247370">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0132AB77" w14:textId="0EC2CEF3" w:rsidR="00150720" w:rsidRDefault="00150720">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proofErr w:type="gramStart"/>
      <w:r w:rsidRPr="00E17E74">
        <w:rPr>
          <w:rFonts w:ascii="Century Schoolbook" w:eastAsia="Times New Roman" w:hAnsi="Century Schoolbook" w:cs="Courier New"/>
          <w:b/>
          <w:spacing w:val="-5"/>
          <w:kern w:val="20"/>
          <w:sz w:val="24"/>
          <w:szCs w:val="24"/>
        </w:rPr>
        <w:t>216.104</w:t>
      </w:r>
      <w:r>
        <w:rPr>
          <w:rFonts w:ascii="Century Schoolbook" w:eastAsia="Times New Roman" w:hAnsi="Century Schoolbook" w:cs="Courier New"/>
          <w:b/>
          <w:spacing w:val="-5"/>
          <w:kern w:val="20"/>
          <w:sz w:val="24"/>
          <w:szCs w:val="24"/>
        </w:rPr>
        <w:t xml:space="preserve"> </w:t>
      </w:r>
      <w:r w:rsidR="00D55BA7">
        <w:rPr>
          <w:rFonts w:ascii="Century Schoolbook" w:eastAsia="Times New Roman" w:hAnsi="Century Schoolbook" w:cs="Courier New"/>
          <w:b/>
          <w:spacing w:val="-5"/>
          <w:kern w:val="20"/>
          <w:sz w:val="24"/>
          <w:szCs w:val="24"/>
        </w:rPr>
        <w:t xml:space="preserve"> </w:t>
      </w:r>
      <w:r>
        <w:rPr>
          <w:rFonts w:ascii="Century Schoolbook" w:eastAsia="Times New Roman" w:hAnsi="Century Schoolbook" w:cs="Courier New"/>
          <w:b/>
          <w:spacing w:val="-5"/>
          <w:kern w:val="20"/>
          <w:sz w:val="24"/>
          <w:szCs w:val="24"/>
        </w:rPr>
        <w:t>Factors</w:t>
      </w:r>
      <w:proofErr w:type="gramEnd"/>
      <w:r>
        <w:rPr>
          <w:rFonts w:ascii="Century Schoolbook" w:eastAsia="Times New Roman" w:hAnsi="Century Schoolbook" w:cs="Courier New"/>
          <w:b/>
          <w:spacing w:val="-5"/>
          <w:kern w:val="20"/>
          <w:sz w:val="24"/>
          <w:szCs w:val="24"/>
        </w:rPr>
        <w:t xml:space="preserve"> in selecting contract type.</w:t>
      </w:r>
    </w:p>
    <w:p w14:paraId="3184B501" w14:textId="77777777" w:rsidR="00C61317" w:rsidRPr="00444E65" w:rsidRDefault="00C61317">
      <w:pPr>
        <w:pStyle w:val="DFARS"/>
      </w:pPr>
      <w:r w:rsidRPr="00444E65">
        <w:t>Contracting officers shall follow the principles and procedures in Director, Defense Procurement and Acquisition Policy memorandum dated April 1, 2016, entitled “</w:t>
      </w:r>
      <w:hyperlink r:id="rId11" w:history="1">
        <w:r w:rsidRPr="00367B02">
          <w:rPr>
            <w:rStyle w:val="Hyperlink"/>
          </w:rPr>
          <w:t>Guidance on Using Incentive and Other Contract Types</w:t>
        </w:r>
      </w:hyperlink>
      <w:r w:rsidRPr="00444E65">
        <w:t xml:space="preserve">,” when selecting and negotiating the most appropriate contract type for a given procurement.  See </w:t>
      </w:r>
      <w:hyperlink r:id="rId12" w:anchor="216.104" w:history="1">
        <w:r w:rsidRPr="00037F81">
          <w:rPr>
            <w:rStyle w:val="Hyperlink"/>
          </w:rPr>
          <w:t>PGI 216.104</w:t>
        </w:r>
      </w:hyperlink>
      <w:r w:rsidRPr="00444E65">
        <w:t>.</w:t>
      </w:r>
    </w:p>
    <w:p w14:paraId="0FE8A995" w14:textId="77CF38C1" w:rsidR="00150720" w:rsidRDefault="00150720">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p>
    <w:p w14:paraId="63C12A3D" w14:textId="137B1323" w:rsidR="00C61317" w:rsidRDefault="00C61317">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r w:rsidRPr="0000468D">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00468D">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00468D">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00468D">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00468D">
        <w:rPr>
          <w:rFonts w:ascii="Century Schoolbook" w:eastAsia="Times New Roman" w:hAnsi="Century Schoolbook" w:cs="Courier New"/>
          <w:spacing w:val="-5"/>
          <w:kern w:val="20"/>
          <w:sz w:val="24"/>
          <w:szCs w:val="24"/>
        </w:rPr>
        <w:t>*</w:t>
      </w:r>
    </w:p>
    <w:p w14:paraId="7399DA89" w14:textId="77777777" w:rsidR="00C61317" w:rsidRPr="0000468D" w:rsidRDefault="00C61317">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p>
    <w:p w14:paraId="6BBE7931" w14:textId="0449214F" w:rsidR="00150720" w:rsidRDefault="00150720">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r>
        <w:rPr>
          <w:rFonts w:ascii="Century Schoolbook" w:eastAsia="Times New Roman" w:hAnsi="Century Schoolbook" w:cs="Courier New"/>
          <w:b/>
          <w:spacing w:val="-5"/>
          <w:kern w:val="20"/>
          <w:sz w:val="24"/>
          <w:szCs w:val="24"/>
        </w:rPr>
        <w:t>216.104-</w:t>
      </w:r>
      <w:proofErr w:type="gramStart"/>
      <w:r>
        <w:rPr>
          <w:rFonts w:ascii="Century Schoolbook" w:eastAsia="Times New Roman" w:hAnsi="Century Schoolbook" w:cs="Courier New"/>
          <w:b/>
          <w:spacing w:val="-5"/>
          <w:kern w:val="20"/>
          <w:sz w:val="24"/>
          <w:szCs w:val="24"/>
        </w:rPr>
        <w:t xml:space="preserve">70 </w:t>
      </w:r>
      <w:r w:rsidR="00D55BA7">
        <w:rPr>
          <w:rFonts w:ascii="Century Schoolbook" w:eastAsia="Times New Roman" w:hAnsi="Century Schoolbook" w:cs="Courier New"/>
          <w:b/>
          <w:spacing w:val="-5"/>
          <w:kern w:val="20"/>
          <w:sz w:val="24"/>
          <w:szCs w:val="24"/>
        </w:rPr>
        <w:t xml:space="preserve"> </w:t>
      </w:r>
      <w:r>
        <w:rPr>
          <w:rFonts w:ascii="Century Schoolbook" w:eastAsia="Times New Roman" w:hAnsi="Century Schoolbook" w:cs="Courier New"/>
          <w:b/>
          <w:spacing w:val="-5"/>
          <w:kern w:val="20"/>
          <w:sz w:val="24"/>
          <w:szCs w:val="24"/>
        </w:rPr>
        <w:t>Research</w:t>
      </w:r>
      <w:proofErr w:type="gramEnd"/>
      <w:r>
        <w:rPr>
          <w:rFonts w:ascii="Century Schoolbook" w:eastAsia="Times New Roman" w:hAnsi="Century Schoolbook" w:cs="Courier New"/>
          <w:b/>
          <w:spacing w:val="-5"/>
          <w:kern w:val="20"/>
          <w:sz w:val="24"/>
          <w:szCs w:val="24"/>
        </w:rPr>
        <w:t xml:space="preserve"> and </w:t>
      </w:r>
      <w:r w:rsidR="00D55BA7">
        <w:rPr>
          <w:rFonts w:ascii="Century Schoolbook" w:eastAsia="Times New Roman" w:hAnsi="Century Schoolbook" w:cs="Courier New"/>
          <w:b/>
          <w:spacing w:val="-5"/>
          <w:kern w:val="20"/>
          <w:sz w:val="24"/>
          <w:szCs w:val="24"/>
        </w:rPr>
        <w:t>d</w:t>
      </w:r>
      <w:r>
        <w:rPr>
          <w:rFonts w:ascii="Century Schoolbook" w:eastAsia="Times New Roman" w:hAnsi="Century Schoolbook" w:cs="Courier New"/>
          <w:b/>
          <w:spacing w:val="-5"/>
          <w:kern w:val="20"/>
          <w:sz w:val="24"/>
          <w:szCs w:val="24"/>
        </w:rPr>
        <w:t>evelopment.</w:t>
      </w:r>
    </w:p>
    <w:p w14:paraId="7319FB63" w14:textId="755810BA" w:rsidR="00150720" w:rsidRPr="00023E59" w:rsidRDefault="00150720">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Cs/>
          <w:spacing w:val="-5"/>
          <w:kern w:val="20"/>
          <w:sz w:val="24"/>
          <w:szCs w:val="24"/>
        </w:rPr>
      </w:pPr>
      <w:r w:rsidRPr="00023E59">
        <w:rPr>
          <w:rFonts w:ascii="Century Schoolbook" w:eastAsia="Times New Roman" w:hAnsi="Century Schoolbook" w:cs="Courier New"/>
          <w:bCs/>
          <w:spacing w:val="-5"/>
          <w:kern w:val="20"/>
          <w:sz w:val="24"/>
          <w:szCs w:val="24"/>
        </w:rPr>
        <w:t>Follow the procedures at PGI 216.104-70 for selecting the appropriate research and development contract type, and see 235.006(b) for additional approval requirements.</w:t>
      </w:r>
    </w:p>
    <w:p w14:paraId="4577F153" w14:textId="77777777" w:rsidR="00CB3365" w:rsidRDefault="00CB3365">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p>
    <w:p w14:paraId="5B9CBCD9" w14:textId="77777777" w:rsidR="00CB3365" w:rsidRDefault="00CB3365">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p>
    <w:p w14:paraId="7F5620E6" w14:textId="27499B18" w:rsidR="00A6470D" w:rsidRDefault="00A6470D">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p>
    <w:p w14:paraId="4DCFAF93" w14:textId="0B706F4A" w:rsidR="00A6470D" w:rsidRDefault="00A6470D">
      <w:pPr>
        <w:tabs>
          <w:tab w:val="left" w:pos="360"/>
          <w:tab w:val="left" w:pos="810"/>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Courier New"/>
          <w:b/>
          <w:spacing w:val="-5"/>
          <w:kern w:val="20"/>
          <w:sz w:val="24"/>
          <w:szCs w:val="24"/>
        </w:rPr>
      </w:pPr>
      <w:r>
        <w:rPr>
          <w:rFonts w:ascii="Century Schoolbook" w:eastAsia="Times New Roman" w:hAnsi="Century Schoolbook" w:cs="Courier New"/>
          <w:b/>
          <w:spacing w:val="-5"/>
          <w:kern w:val="20"/>
          <w:sz w:val="24"/>
          <w:szCs w:val="24"/>
        </w:rPr>
        <w:t>SUBPAR</w:t>
      </w:r>
      <w:r w:rsidR="00CB3365">
        <w:rPr>
          <w:rFonts w:ascii="Century Schoolbook" w:eastAsia="Times New Roman" w:hAnsi="Century Schoolbook" w:cs="Courier New"/>
          <w:b/>
          <w:spacing w:val="-5"/>
          <w:kern w:val="20"/>
          <w:sz w:val="24"/>
          <w:szCs w:val="24"/>
        </w:rPr>
        <w:t>T</w:t>
      </w:r>
      <w:r>
        <w:rPr>
          <w:rFonts w:ascii="Century Schoolbook" w:eastAsia="Times New Roman" w:hAnsi="Century Schoolbook" w:cs="Courier New"/>
          <w:b/>
          <w:spacing w:val="-5"/>
          <w:kern w:val="20"/>
          <w:sz w:val="24"/>
          <w:szCs w:val="24"/>
        </w:rPr>
        <w:t xml:space="preserve"> 216.3---COST-REIMBURSEMENT CONTRACTS</w:t>
      </w:r>
    </w:p>
    <w:p w14:paraId="7280260A" w14:textId="614B51FE" w:rsidR="00A6470D" w:rsidRDefault="00A6470D">
      <w:pPr>
        <w:tabs>
          <w:tab w:val="left" w:pos="360"/>
          <w:tab w:val="left" w:pos="810"/>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Courier New"/>
          <w:b/>
          <w:spacing w:val="-5"/>
          <w:kern w:val="20"/>
          <w:sz w:val="24"/>
          <w:szCs w:val="24"/>
        </w:rPr>
      </w:pPr>
    </w:p>
    <w:p w14:paraId="21955FA8" w14:textId="4E258E1A" w:rsidR="00A6470D" w:rsidRDefault="00A6470D">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r>
        <w:rPr>
          <w:rFonts w:ascii="Century Schoolbook" w:eastAsia="Times New Roman" w:hAnsi="Century Schoolbook" w:cs="Courier New"/>
          <w:b/>
          <w:spacing w:val="-5"/>
          <w:kern w:val="20"/>
          <w:sz w:val="24"/>
          <w:szCs w:val="24"/>
        </w:rPr>
        <w:t>216.301-</w:t>
      </w:r>
      <w:proofErr w:type="gramStart"/>
      <w:r>
        <w:rPr>
          <w:rFonts w:ascii="Century Schoolbook" w:eastAsia="Times New Roman" w:hAnsi="Century Schoolbook" w:cs="Courier New"/>
          <w:b/>
          <w:spacing w:val="-5"/>
          <w:kern w:val="20"/>
          <w:sz w:val="24"/>
          <w:szCs w:val="24"/>
        </w:rPr>
        <w:t xml:space="preserve">3 </w:t>
      </w:r>
      <w:r w:rsidR="00E9205F">
        <w:rPr>
          <w:rFonts w:ascii="Century Schoolbook" w:eastAsia="Times New Roman" w:hAnsi="Century Schoolbook" w:cs="Courier New"/>
          <w:b/>
          <w:spacing w:val="-5"/>
          <w:kern w:val="20"/>
          <w:sz w:val="24"/>
          <w:szCs w:val="24"/>
        </w:rPr>
        <w:t xml:space="preserve"> </w:t>
      </w:r>
      <w:r>
        <w:rPr>
          <w:rFonts w:ascii="Century Schoolbook" w:eastAsia="Times New Roman" w:hAnsi="Century Schoolbook" w:cs="Courier New"/>
          <w:b/>
          <w:spacing w:val="-5"/>
          <w:kern w:val="20"/>
          <w:sz w:val="24"/>
          <w:szCs w:val="24"/>
        </w:rPr>
        <w:t>Limitations</w:t>
      </w:r>
      <w:proofErr w:type="gramEnd"/>
      <w:r w:rsidR="00BF020E">
        <w:rPr>
          <w:rFonts w:ascii="Century Schoolbook" w:eastAsia="Times New Roman" w:hAnsi="Century Schoolbook" w:cs="Courier New"/>
          <w:b/>
          <w:spacing w:val="-5"/>
          <w:kern w:val="20"/>
          <w:sz w:val="24"/>
          <w:szCs w:val="24"/>
        </w:rPr>
        <w:t>.</w:t>
      </w:r>
    </w:p>
    <w:p w14:paraId="25D243AC" w14:textId="33E4F6B9" w:rsidR="00A6470D" w:rsidRDefault="00A6470D">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b/>
          <w:spacing w:val="-5"/>
          <w:kern w:val="20"/>
          <w:sz w:val="24"/>
          <w:szCs w:val="24"/>
        </w:rPr>
      </w:pPr>
    </w:p>
    <w:p w14:paraId="776709AD" w14:textId="1E9C617E" w:rsidR="00A6470D" w:rsidRDefault="00C61317" w:rsidP="00981A87">
      <w:pPr>
        <w:pStyle w:val="DFARS"/>
        <w:rPr>
          <w:szCs w:val="24"/>
        </w:rPr>
      </w:pPr>
      <w:r w:rsidRPr="00023E59">
        <w:rPr>
          <w:strike/>
          <w:szCs w:val="24"/>
        </w:rPr>
        <w:tab/>
      </w:r>
      <w:r w:rsidR="00A6470D" w:rsidRPr="00023E59">
        <w:rPr>
          <w:strike/>
          <w:szCs w:val="24"/>
        </w:rPr>
        <w:t>(</w:t>
      </w:r>
      <w:r w:rsidR="00A6470D" w:rsidRPr="00225A7C">
        <w:rPr>
          <w:strike/>
          <w:szCs w:val="24"/>
        </w:rPr>
        <w:t>1)</w:t>
      </w:r>
      <w:r w:rsidR="00A6470D" w:rsidRPr="00A6470D">
        <w:rPr>
          <w:szCs w:val="24"/>
        </w:rPr>
        <w:t xml:space="preserve">  </w:t>
      </w:r>
      <w:r w:rsidR="00A6470D" w:rsidRPr="00027F02">
        <w:rPr>
          <w:szCs w:val="24"/>
        </w:rPr>
        <w:t>For contracts in connection with a military construction project or a military family housing project, contracting officers shall not use cost-plus-fixed-fee, cost-plus-</w:t>
      </w:r>
      <w:r w:rsidR="00A6470D" w:rsidRPr="00027F02">
        <w:rPr>
          <w:szCs w:val="24"/>
        </w:rPr>
        <w:lastRenderedPageBreak/>
        <w:t>award-fee, or cost-plus-incentive-fee contract types (10 U.S.C. 2306(c)).  This applies notwithstanding a declaration of war or the declaration by the President of a national emergency under section 201 of the National Emergencies Act (</w:t>
      </w:r>
      <w:r w:rsidR="00A6470D" w:rsidRPr="007F5BC9">
        <w:rPr>
          <w:szCs w:val="24"/>
        </w:rPr>
        <w:t>50 U.S.C. 1621</w:t>
      </w:r>
      <w:r w:rsidR="00A6470D" w:rsidRPr="00027F02">
        <w:rPr>
          <w:szCs w:val="24"/>
        </w:rPr>
        <w:t>) that includes the use of the Armed Forces.</w:t>
      </w:r>
    </w:p>
    <w:p w14:paraId="7D951C78" w14:textId="0E2B6F67" w:rsidR="00A6470D" w:rsidRDefault="00A6470D">
      <w:pPr>
        <w:pStyle w:val="DFARS"/>
        <w:rPr>
          <w:szCs w:val="24"/>
        </w:rPr>
      </w:pPr>
    </w:p>
    <w:p w14:paraId="03C2022F" w14:textId="782E21DB" w:rsidR="00A6470D" w:rsidRDefault="00A6470D" w:rsidP="00981A87">
      <w:pPr>
        <w:pStyle w:val="DFARS"/>
        <w:rPr>
          <w:rFonts w:cs="Courier New"/>
          <w:bCs/>
          <w:strike/>
          <w:szCs w:val="24"/>
        </w:rPr>
      </w:pPr>
      <w:r w:rsidRPr="00A6470D">
        <w:rPr>
          <w:rFonts w:cs="Courier New"/>
          <w:bCs/>
          <w:szCs w:val="24"/>
        </w:rPr>
        <w:tab/>
      </w:r>
      <w:r w:rsidRPr="00670809">
        <w:rPr>
          <w:rFonts w:cs="Courier New"/>
          <w:bCs/>
          <w:strike/>
          <w:szCs w:val="24"/>
        </w:rPr>
        <w:t xml:space="preserve">(2)  Except as provided in </w:t>
      </w:r>
      <w:hyperlink r:id="rId13" w:anchor="235.006" w:history="1">
        <w:r w:rsidRPr="00670809">
          <w:rPr>
            <w:rStyle w:val="Hyperlink"/>
            <w:rFonts w:cs="Courier New"/>
            <w:strike/>
            <w:szCs w:val="24"/>
          </w:rPr>
          <w:t>235.006</w:t>
        </w:r>
      </w:hyperlink>
      <w:r w:rsidRPr="00670809">
        <w:rPr>
          <w:rFonts w:cs="Courier New"/>
          <w:bCs/>
          <w:strike/>
          <w:szCs w:val="24"/>
        </w:rPr>
        <w:t>(b), in accordance with section 829 of the National Defense Authorization Act for Fiscal Year 2017 (Pub. L. 114-328), approval of the head of the contracting activity is required prior to awarding cost-reimbursement contracts in excess of $25 million.</w:t>
      </w:r>
    </w:p>
    <w:p w14:paraId="335D7718" w14:textId="7F2AA6C1" w:rsidR="00A6470D" w:rsidRDefault="00A6470D">
      <w:pPr>
        <w:pStyle w:val="DFARS"/>
        <w:rPr>
          <w:szCs w:val="24"/>
        </w:rPr>
      </w:pPr>
    </w:p>
    <w:p w14:paraId="11290A27" w14:textId="77777777" w:rsidR="00A6470D" w:rsidRPr="00E511C3" w:rsidRDefault="00A6470D">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r>
        <w:rPr>
          <w:rFonts w:ascii="Century Schoolbook" w:eastAsia="Times New Roman" w:hAnsi="Century Schoolbook" w:cs="Courier New"/>
          <w:spacing w:val="-5"/>
          <w:kern w:val="20"/>
          <w:sz w:val="24"/>
          <w:szCs w:val="24"/>
        </w:rPr>
        <w:t xml:space="preserve"> </w:t>
      </w:r>
      <w:r w:rsidRPr="00E511C3">
        <w:rPr>
          <w:rFonts w:ascii="Century Schoolbook" w:eastAsia="Times New Roman" w:hAnsi="Century Schoolbook" w:cs="Courier New"/>
          <w:spacing w:val="-5"/>
          <w:kern w:val="20"/>
          <w:sz w:val="24"/>
          <w:szCs w:val="24"/>
        </w:rPr>
        <w:t>*</w:t>
      </w:r>
    </w:p>
    <w:p w14:paraId="224C342C" w14:textId="1D94A321" w:rsidR="00A6470D" w:rsidRDefault="00A6470D">
      <w:pPr>
        <w:pStyle w:val="DFARS"/>
        <w:rPr>
          <w:szCs w:val="24"/>
        </w:rPr>
      </w:pPr>
    </w:p>
    <w:p w14:paraId="6A42DCC3" w14:textId="005238C3" w:rsidR="00A6470D" w:rsidRDefault="00A6470D">
      <w:pPr>
        <w:pStyle w:val="DFARS"/>
        <w:jc w:val="center"/>
        <w:rPr>
          <w:b/>
          <w:szCs w:val="24"/>
        </w:rPr>
      </w:pPr>
      <w:r>
        <w:rPr>
          <w:b/>
          <w:szCs w:val="24"/>
        </w:rPr>
        <w:t>SUBPART 216.4---INCENTIVE CONTRACTS</w:t>
      </w:r>
    </w:p>
    <w:p w14:paraId="6D58412B" w14:textId="5E3440F0" w:rsidR="00A6470D" w:rsidRDefault="00A6470D">
      <w:pPr>
        <w:pStyle w:val="DFARS"/>
        <w:jc w:val="center"/>
        <w:rPr>
          <w:b/>
          <w:szCs w:val="24"/>
        </w:rPr>
      </w:pPr>
    </w:p>
    <w:p w14:paraId="15AC3033" w14:textId="539B495B" w:rsidR="00A6470D" w:rsidRPr="00A6470D" w:rsidRDefault="00A6470D">
      <w:pPr>
        <w:pStyle w:val="DFARS"/>
        <w:rPr>
          <w:b/>
          <w:szCs w:val="24"/>
        </w:rPr>
      </w:pPr>
      <w:proofErr w:type="gramStart"/>
      <w:r w:rsidRPr="00A6470D">
        <w:rPr>
          <w:b/>
          <w:szCs w:val="24"/>
        </w:rPr>
        <w:t>216.401</w:t>
      </w:r>
      <w:r w:rsidR="005464F7">
        <w:rPr>
          <w:b/>
          <w:szCs w:val="24"/>
        </w:rPr>
        <w:t xml:space="preserve"> </w:t>
      </w:r>
      <w:r w:rsidRPr="00A6470D">
        <w:rPr>
          <w:b/>
          <w:szCs w:val="24"/>
        </w:rPr>
        <w:t xml:space="preserve"> General</w:t>
      </w:r>
      <w:proofErr w:type="gramEnd"/>
      <w:r w:rsidR="00ED4D76">
        <w:rPr>
          <w:b/>
          <w:szCs w:val="24"/>
        </w:rPr>
        <w:t>.</w:t>
      </w:r>
    </w:p>
    <w:p w14:paraId="61BEA746" w14:textId="08D43BBA" w:rsidR="00150720" w:rsidRDefault="00150720">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0"/>
        </w:rPr>
      </w:pPr>
    </w:p>
    <w:p w14:paraId="6D44BDD0" w14:textId="351102D5" w:rsidR="00A6470D" w:rsidRPr="0096693C" w:rsidRDefault="00023E59">
      <w:pPr>
        <w:pStyle w:val="DFARS"/>
      </w:pPr>
      <w:r>
        <w:tab/>
      </w:r>
      <w:r w:rsidR="00A6470D" w:rsidRPr="0096693C">
        <w:t xml:space="preserve">(c)  See </w:t>
      </w:r>
      <w:hyperlink r:id="rId14" w:anchor="216.401" w:history="1">
        <w:r w:rsidR="00A6470D" w:rsidRPr="00916357">
          <w:rPr>
            <w:rStyle w:val="Hyperlink"/>
          </w:rPr>
          <w:t>PGI 216.401</w:t>
        </w:r>
      </w:hyperlink>
      <w:r w:rsidR="00A6470D" w:rsidRPr="0096693C">
        <w:t>(c) for information on the Defense Acquisition University Award and Incentive Fees Community of Practice.</w:t>
      </w:r>
    </w:p>
    <w:p w14:paraId="0132BA2B" w14:textId="77777777" w:rsidR="00A6470D" w:rsidRPr="0096693C" w:rsidRDefault="00A6470D">
      <w:pPr>
        <w:pStyle w:val="DFARS"/>
      </w:pPr>
    </w:p>
    <w:p w14:paraId="121CC2CA" w14:textId="1AD00B1A" w:rsidR="00A6470D" w:rsidRPr="0010013F" w:rsidRDefault="00A6470D">
      <w:pPr>
        <w:pStyle w:val="DFARS"/>
      </w:pPr>
      <w:r w:rsidRPr="00A6470D">
        <w:tab/>
      </w:r>
      <w:r w:rsidRPr="00981A87">
        <w:t>(d)</w:t>
      </w:r>
      <w:r w:rsidRPr="00225A7C">
        <w:rPr>
          <w:strike/>
        </w:rPr>
        <w:t>(</w:t>
      </w:r>
      <w:proofErr w:type="spellStart"/>
      <w:r w:rsidRPr="00225A7C">
        <w:rPr>
          <w:strike/>
        </w:rPr>
        <w:t>i</w:t>
      </w:r>
      <w:proofErr w:type="spellEnd"/>
      <w:proofErr w:type="gramStart"/>
      <w:r w:rsidRPr="00225A7C">
        <w:rPr>
          <w:strike/>
        </w:rPr>
        <w:t>)  Except</w:t>
      </w:r>
      <w:proofErr w:type="gramEnd"/>
      <w:r w:rsidRPr="00225A7C">
        <w:rPr>
          <w:strike/>
        </w:rPr>
        <w:t xml:space="preserve"> as provided in paragraph (d)(ii), </w:t>
      </w:r>
      <w:r w:rsidRPr="00981A87">
        <w:rPr>
          <w:strike/>
        </w:rPr>
        <w:t>t</w:t>
      </w:r>
      <w:r w:rsidR="00023E59" w:rsidRPr="00981A87">
        <w:rPr>
          <w:b/>
          <w:bCs/>
        </w:rPr>
        <w:t>[T]</w:t>
      </w:r>
      <w:r w:rsidRPr="0010013F">
        <w:t>he determination and findings justifying that the use of an incentive- or award-fee contract is in the best interest of the Government, may be signed by the head of contracting activity or a designee—</w:t>
      </w:r>
    </w:p>
    <w:p w14:paraId="74697794" w14:textId="77777777" w:rsidR="00A6470D" w:rsidRPr="0010013F" w:rsidRDefault="00A6470D">
      <w:pPr>
        <w:pStyle w:val="DFARS"/>
      </w:pPr>
    </w:p>
    <w:p w14:paraId="0D1D56F3" w14:textId="2CFE5CB6" w:rsidR="00A6470D" w:rsidRPr="0010013F" w:rsidRDefault="00A6470D">
      <w:pPr>
        <w:pStyle w:val="DFARS"/>
      </w:pPr>
      <w:r w:rsidRPr="0010013F">
        <w:tab/>
      </w:r>
      <w:r w:rsidRPr="0010013F">
        <w:tab/>
        <w:t>(</w:t>
      </w:r>
      <w:r w:rsidRPr="00981A87">
        <w:rPr>
          <w:strike/>
        </w:rPr>
        <w:t>A</w:t>
      </w:r>
      <w:r w:rsidR="00267B67" w:rsidRPr="00981A87">
        <w:rPr>
          <w:b/>
          <w:bCs/>
        </w:rPr>
        <w:t>[</w:t>
      </w:r>
      <w:proofErr w:type="spellStart"/>
      <w:r w:rsidR="00267B67" w:rsidRPr="00981A87">
        <w:rPr>
          <w:b/>
          <w:bCs/>
        </w:rPr>
        <w:t>i</w:t>
      </w:r>
      <w:proofErr w:type="spellEnd"/>
      <w:proofErr w:type="gramStart"/>
      <w:r w:rsidR="00267B67" w:rsidRPr="00981A87">
        <w:rPr>
          <w:b/>
          <w:bCs/>
        </w:rPr>
        <w:t>]</w:t>
      </w:r>
      <w:r w:rsidRPr="0010013F">
        <w:t>)  No</w:t>
      </w:r>
      <w:proofErr w:type="gramEnd"/>
      <w:r w:rsidRPr="0010013F">
        <w:t xml:space="preserve"> lower than one level below the head of the contracting activity for award</w:t>
      </w:r>
      <w:r w:rsidR="007E7924" w:rsidRPr="00981A87">
        <w:rPr>
          <w:b/>
          <w:bCs/>
        </w:rPr>
        <w:t>[-]</w:t>
      </w:r>
      <w:r w:rsidRPr="0010013F">
        <w:t>fee contracts; or</w:t>
      </w:r>
    </w:p>
    <w:p w14:paraId="399D72FB" w14:textId="77777777" w:rsidR="00A6470D" w:rsidRPr="0010013F" w:rsidRDefault="00A6470D">
      <w:pPr>
        <w:pStyle w:val="DFARS"/>
      </w:pPr>
    </w:p>
    <w:p w14:paraId="6850E4B1" w14:textId="534230ED" w:rsidR="00A6470D" w:rsidRPr="00DA5B71" w:rsidRDefault="00A6470D">
      <w:pPr>
        <w:pStyle w:val="DFARS"/>
      </w:pPr>
      <w:r w:rsidRPr="0010013F">
        <w:tab/>
      </w:r>
      <w:r w:rsidRPr="0010013F">
        <w:tab/>
        <w:t>(</w:t>
      </w:r>
      <w:r w:rsidRPr="00981A87">
        <w:rPr>
          <w:strike/>
        </w:rPr>
        <w:t>B</w:t>
      </w:r>
      <w:r w:rsidR="00267B67" w:rsidRPr="00981A87">
        <w:rPr>
          <w:b/>
          <w:bCs/>
        </w:rPr>
        <w:t>[ii</w:t>
      </w:r>
      <w:proofErr w:type="gramStart"/>
      <w:r w:rsidR="00267B67" w:rsidRPr="00981A87">
        <w:rPr>
          <w:b/>
          <w:bCs/>
        </w:rPr>
        <w:t>]</w:t>
      </w:r>
      <w:r w:rsidRPr="0010013F">
        <w:t>)  One</w:t>
      </w:r>
      <w:proofErr w:type="gramEnd"/>
      <w:r w:rsidRPr="0010013F">
        <w:t xml:space="preserve"> level above the contracting officer for incentive</w:t>
      </w:r>
      <w:r w:rsidR="007E7924" w:rsidRPr="00981A87">
        <w:rPr>
          <w:b/>
          <w:bCs/>
        </w:rPr>
        <w:t>[-]</w:t>
      </w:r>
      <w:r w:rsidRPr="0010013F">
        <w:t>fee contracts.</w:t>
      </w:r>
    </w:p>
    <w:p w14:paraId="02624E85" w14:textId="77777777" w:rsidR="00A6470D" w:rsidRPr="00225A7C" w:rsidRDefault="00A6470D">
      <w:pPr>
        <w:pStyle w:val="DFARS"/>
        <w:rPr>
          <w:strike/>
        </w:rPr>
      </w:pPr>
    </w:p>
    <w:p w14:paraId="106AED3B" w14:textId="7A4CB458" w:rsidR="00A6470D" w:rsidRPr="00F063A9" w:rsidRDefault="00A6470D">
      <w:pPr>
        <w:pStyle w:val="DFARS"/>
        <w:rPr>
          <w:strike/>
        </w:rPr>
      </w:pPr>
      <w:r>
        <w:tab/>
      </w:r>
      <w:r>
        <w:tab/>
      </w:r>
      <w:r w:rsidRPr="00F063A9">
        <w:rPr>
          <w:strike/>
        </w:rP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hyperlink r:id="rId15" w:anchor="216.301-3" w:history="1">
        <w:r w:rsidRPr="00F063A9">
          <w:rPr>
            <w:rStyle w:val="Hyperlink"/>
            <w:strike/>
          </w:rPr>
          <w:t>216.301-3</w:t>
        </w:r>
      </w:hyperlink>
      <w:r w:rsidRPr="00F063A9">
        <w:rPr>
          <w:strike/>
        </w:rPr>
        <w:t>(2).</w:t>
      </w:r>
    </w:p>
    <w:p w14:paraId="711BAAA7" w14:textId="77777777" w:rsidR="00A6470D" w:rsidRDefault="00A6470D">
      <w:pPr>
        <w:pStyle w:val="DFARS"/>
      </w:pPr>
    </w:p>
    <w:p w14:paraId="4D6EBEAE" w14:textId="377CFF51" w:rsidR="00A6470D" w:rsidRDefault="00A6470D">
      <w:pPr>
        <w:pStyle w:val="DFARS"/>
      </w:pPr>
      <w:r>
        <w:tab/>
      </w:r>
      <w:r w:rsidRPr="0096693C">
        <w:t xml:space="preserve">(e)  </w:t>
      </w:r>
      <w:r>
        <w:t xml:space="preserve">Award-fee plans required in FAR 16.401(e) shall be incorporated into all award-fee type contracts.  </w:t>
      </w:r>
      <w:r w:rsidRPr="0096693C">
        <w:t xml:space="preserve">Follow the procedures at </w:t>
      </w:r>
      <w:hyperlink r:id="rId16" w:anchor="216.401" w:history="1">
        <w:r w:rsidRPr="00916357">
          <w:rPr>
            <w:rStyle w:val="Hyperlink"/>
          </w:rPr>
          <w:t>PGI 216.401</w:t>
        </w:r>
      </w:hyperlink>
      <w:r w:rsidRPr="0096693C">
        <w:t>(e) when planning to award an</w:t>
      </w:r>
      <w:r>
        <w:t xml:space="preserve"> </w:t>
      </w:r>
      <w:r w:rsidRPr="0096693C">
        <w:t>award-fee contract.</w:t>
      </w:r>
    </w:p>
    <w:p w14:paraId="515B9F84" w14:textId="62EB6889" w:rsidR="00980ED5" w:rsidRDefault="00980ED5">
      <w:pPr>
        <w:pStyle w:val="DFARS"/>
      </w:pPr>
    </w:p>
    <w:p w14:paraId="0FDE1737" w14:textId="77777777" w:rsidR="00980ED5" w:rsidRPr="00C73FA4" w:rsidRDefault="00980ED5">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Courier New"/>
          <w:spacing w:val="-5"/>
          <w:kern w:val="20"/>
          <w:sz w:val="24"/>
          <w:szCs w:val="24"/>
        </w:rPr>
      </w:pPr>
      <w:r w:rsidRPr="00C73FA4">
        <w:rPr>
          <w:rFonts w:ascii="Century Schoolbook" w:eastAsia="Times New Roman" w:hAnsi="Century Schoolbook" w:cs="Courier New"/>
          <w:spacing w:val="-5"/>
          <w:kern w:val="20"/>
          <w:sz w:val="24"/>
          <w:szCs w:val="24"/>
        </w:rPr>
        <w:t>* * * * *</w:t>
      </w:r>
    </w:p>
    <w:p w14:paraId="5FBF19FE" w14:textId="5F9ED794" w:rsidR="00F92115" w:rsidRDefault="00F92115">
      <w:pPr>
        <w:pStyle w:val="DFARS"/>
      </w:pPr>
    </w:p>
    <w:p w14:paraId="6BC12021" w14:textId="4C420414" w:rsidR="00F92115" w:rsidRDefault="00F92115">
      <w:pPr>
        <w:pStyle w:val="DFARS"/>
        <w:jc w:val="center"/>
        <w:rPr>
          <w:b/>
        </w:rPr>
      </w:pPr>
      <w:r>
        <w:rPr>
          <w:b/>
        </w:rPr>
        <w:t>PART 235---</w:t>
      </w:r>
      <w:r w:rsidRPr="00981A87">
        <w:rPr>
          <w:b/>
          <w:caps/>
        </w:rPr>
        <w:t xml:space="preserve">Research and Development </w:t>
      </w:r>
      <w:r w:rsidR="00626B5C" w:rsidRPr="00981A87">
        <w:rPr>
          <w:b/>
          <w:caps/>
        </w:rPr>
        <w:t>Contracting</w:t>
      </w:r>
    </w:p>
    <w:p w14:paraId="47C8816F" w14:textId="2C7B7C6B" w:rsidR="00626B5C" w:rsidRDefault="00626B5C">
      <w:pPr>
        <w:pStyle w:val="DFARS"/>
        <w:jc w:val="center"/>
        <w:rPr>
          <w:i/>
          <w:strike/>
        </w:rPr>
      </w:pPr>
    </w:p>
    <w:p w14:paraId="5F511653" w14:textId="77777777" w:rsidR="00626B5C" w:rsidRPr="00C06DD6" w:rsidRDefault="00626B5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C06DD6">
        <w:rPr>
          <w:rFonts w:ascii="Century Schoolbook" w:eastAsia="Times New Roman" w:hAnsi="Century Schoolbook" w:cs="Times New Roman"/>
          <w:spacing w:val="-5"/>
          <w:kern w:val="20"/>
          <w:sz w:val="24"/>
          <w:szCs w:val="20"/>
        </w:rPr>
        <w:t>* * * * *</w:t>
      </w:r>
    </w:p>
    <w:p w14:paraId="1860CF3E" w14:textId="35732877" w:rsidR="00626B5C" w:rsidRDefault="00626B5C">
      <w:pPr>
        <w:pStyle w:val="DFARS"/>
      </w:pPr>
    </w:p>
    <w:p w14:paraId="1DE4301B" w14:textId="7EBE8258" w:rsidR="00626B5C" w:rsidRDefault="00626B5C">
      <w:pPr>
        <w:pStyle w:val="DFARS"/>
        <w:rPr>
          <w:b/>
        </w:rPr>
      </w:pPr>
      <w:proofErr w:type="gramStart"/>
      <w:r>
        <w:rPr>
          <w:b/>
        </w:rPr>
        <w:t xml:space="preserve">235.006 </w:t>
      </w:r>
      <w:r w:rsidR="00E9205F">
        <w:rPr>
          <w:b/>
        </w:rPr>
        <w:t xml:space="preserve"> </w:t>
      </w:r>
      <w:r>
        <w:rPr>
          <w:b/>
        </w:rPr>
        <w:t>Contracting</w:t>
      </w:r>
      <w:proofErr w:type="gramEnd"/>
      <w:r>
        <w:rPr>
          <w:b/>
        </w:rPr>
        <w:t xml:space="preserve"> methods and contract type</w:t>
      </w:r>
      <w:r w:rsidR="00ED4D76">
        <w:rPr>
          <w:b/>
        </w:rPr>
        <w:t>.</w:t>
      </w:r>
    </w:p>
    <w:p w14:paraId="19D1116C" w14:textId="222C5D35" w:rsidR="00626B5C" w:rsidRDefault="00626B5C">
      <w:pPr>
        <w:pStyle w:val="DFARS"/>
        <w:rPr>
          <w:b/>
        </w:rPr>
      </w:pPr>
    </w:p>
    <w:p w14:paraId="05C43FB3" w14:textId="736B726D" w:rsidR="00626B5C" w:rsidRPr="00800848" w:rsidRDefault="00946383">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trike/>
          <w:spacing w:val="-5"/>
          <w:kern w:val="20"/>
          <w:sz w:val="24"/>
          <w:szCs w:val="20"/>
        </w:rPr>
      </w:pPr>
      <w:r>
        <w:rPr>
          <w:rFonts w:ascii="Century Schoolbook" w:eastAsia="Times New Roman" w:hAnsi="Century Schoolbook" w:cs="Courier New"/>
          <w:bCs/>
          <w:spacing w:val="-5"/>
          <w:kern w:val="20"/>
          <w:sz w:val="24"/>
          <w:szCs w:val="20"/>
        </w:rPr>
        <w:tab/>
      </w:r>
      <w:r w:rsidR="00626B5C" w:rsidRPr="00225A7C">
        <w:rPr>
          <w:rFonts w:ascii="Century Schoolbook" w:eastAsia="Times New Roman" w:hAnsi="Century Schoolbook" w:cs="Courier New"/>
          <w:bCs/>
          <w:spacing w:val="-5"/>
          <w:kern w:val="20"/>
          <w:sz w:val="24"/>
          <w:szCs w:val="20"/>
        </w:rPr>
        <w:t>(b)(</w:t>
      </w:r>
      <w:proofErr w:type="spellStart"/>
      <w:r w:rsidR="00626B5C" w:rsidRPr="00800848">
        <w:rPr>
          <w:rFonts w:ascii="Century Schoolbook" w:eastAsia="Times New Roman" w:hAnsi="Century Schoolbook" w:cs="Courier New"/>
          <w:bCs/>
          <w:strike/>
          <w:spacing w:val="-5"/>
          <w:kern w:val="20"/>
          <w:sz w:val="24"/>
          <w:szCs w:val="20"/>
        </w:rPr>
        <w:t>i</w:t>
      </w:r>
      <w:proofErr w:type="spellEnd"/>
      <w:r w:rsidR="00626B5C" w:rsidRPr="00800848">
        <w:rPr>
          <w:rFonts w:ascii="Century Schoolbook" w:eastAsia="Times New Roman" w:hAnsi="Century Schoolbook" w:cs="Courier New"/>
          <w:bCs/>
          <w:strike/>
          <w:spacing w:val="-5"/>
          <w:kern w:val="20"/>
          <w:sz w:val="24"/>
          <w:szCs w:val="20"/>
        </w:rPr>
        <w:t xml:space="preserve">) Consistent with section 829 of the National Defense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 – </w:t>
      </w:r>
    </w:p>
    <w:p w14:paraId="54CC6216" w14:textId="77777777" w:rsidR="00626B5C" w:rsidRPr="00800848" w:rsidRDefault="00626B5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trike/>
          <w:spacing w:val="-5"/>
          <w:kern w:val="20"/>
          <w:sz w:val="24"/>
          <w:szCs w:val="20"/>
        </w:rPr>
      </w:pPr>
    </w:p>
    <w:p w14:paraId="3FDBB857" w14:textId="1EEF6CB1" w:rsidR="00626B5C" w:rsidRPr="00800848" w:rsidRDefault="005464F7" w:rsidP="00981A87">
      <w:pPr>
        <w:pStyle w:val="ListParagraph"/>
        <w:tabs>
          <w:tab w:val="left" w:pos="360"/>
          <w:tab w:val="left" w:pos="810"/>
          <w:tab w:val="left" w:pos="1210"/>
          <w:tab w:val="left" w:pos="1656"/>
          <w:tab w:val="left" w:pos="2131"/>
          <w:tab w:val="left" w:pos="2520"/>
        </w:tabs>
        <w:spacing w:after="0" w:line="240" w:lineRule="exact"/>
        <w:ind w:left="0"/>
        <w:rPr>
          <w:rFonts w:ascii="Century Schoolbook" w:eastAsia="Times New Roman" w:hAnsi="Century Schoolbook" w:cs="Courier New"/>
          <w:bCs/>
          <w:strike/>
          <w:spacing w:val="-5"/>
          <w:kern w:val="20"/>
          <w:sz w:val="24"/>
          <w:szCs w:val="20"/>
        </w:rPr>
      </w:pPr>
      <w:r>
        <w:rPr>
          <w:rFonts w:ascii="Century Schoolbook" w:eastAsia="Times New Roman" w:hAnsi="Century Schoolbook" w:cs="Courier New"/>
          <w:bCs/>
          <w:strike/>
          <w:spacing w:val="-5"/>
          <w:kern w:val="20"/>
          <w:sz w:val="24"/>
          <w:szCs w:val="20"/>
        </w:rPr>
        <w:tab/>
      </w:r>
      <w:r>
        <w:rPr>
          <w:rFonts w:ascii="Century Schoolbook" w:eastAsia="Times New Roman" w:hAnsi="Century Schoolbook" w:cs="Courier New"/>
          <w:bCs/>
          <w:strike/>
          <w:spacing w:val="-5"/>
          <w:kern w:val="20"/>
          <w:sz w:val="24"/>
          <w:szCs w:val="20"/>
        </w:rPr>
        <w:tab/>
      </w:r>
      <w:r>
        <w:rPr>
          <w:rFonts w:ascii="Century Schoolbook" w:eastAsia="Times New Roman" w:hAnsi="Century Schoolbook" w:cs="Courier New"/>
          <w:bCs/>
          <w:strike/>
          <w:spacing w:val="-5"/>
          <w:kern w:val="20"/>
          <w:sz w:val="24"/>
          <w:szCs w:val="20"/>
        </w:rPr>
        <w:tab/>
        <w:t xml:space="preserve">(A) </w:t>
      </w:r>
      <w:r w:rsidR="00626B5C" w:rsidRPr="00800848">
        <w:rPr>
          <w:rFonts w:ascii="Century Schoolbook" w:eastAsia="Times New Roman" w:hAnsi="Century Schoolbook" w:cs="Courier New"/>
          <w:bCs/>
          <w:strike/>
          <w:spacing w:val="-5"/>
          <w:kern w:val="20"/>
          <w:sz w:val="24"/>
          <w:szCs w:val="20"/>
        </w:rPr>
        <w:t xml:space="preserve"> The level of program risk does not permit realistic pricing; and</w:t>
      </w:r>
    </w:p>
    <w:p w14:paraId="6B3BACFB" w14:textId="77777777" w:rsidR="00626B5C" w:rsidRPr="006265AA" w:rsidRDefault="00626B5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p>
    <w:p w14:paraId="6B680F0B" w14:textId="40FB27D2" w:rsidR="00626B5C" w:rsidRPr="00800848" w:rsidRDefault="005464F7" w:rsidP="00981A87">
      <w:pPr>
        <w:pStyle w:val="ListParagraph"/>
        <w:tabs>
          <w:tab w:val="left" w:pos="360"/>
          <w:tab w:val="left" w:pos="810"/>
          <w:tab w:val="left" w:pos="1210"/>
          <w:tab w:val="left" w:pos="1656"/>
          <w:tab w:val="left" w:pos="2131"/>
          <w:tab w:val="left" w:pos="2520"/>
        </w:tabs>
        <w:spacing w:after="0" w:line="240" w:lineRule="exact"/>
        <w:ind w:left="0"/>
        <w:rPr>
          <w:rFonts w:ascii="Century Schoolbook" w:eastAsia="Times New Roman" w:hAnsi="Century Schoolbook" w:cs="Courier New"/>
          <w:bCs/>
          <w:strike/>
          <w:spacing w:val="-5"/>
          <w:kern w:val="20"/>
          <w:sz w:val="24"/>
          <w:szCs w:val="20"/>
        </w:rPr>
      </w:pPr>
      <w:r>
        <w:rPr>
          <w:rFonts w:ascii="Century Schoolbook" w:eastAsia="Times New Roman" w:hAnsi="Century Schoolbook" w:cs="Courier New"/>
          <w:bCs/>
          <w:strike/>
          <w:spacing w:val="-5"/>
          <w:kern w:val="20"/>
          <w:sz w:val="24"/>
          <w:szCs w:val="20"/>
        </w:rPr>
        <w:tab/>
      </w:r>
      <w:r>
        <w:rPr>
          <w:rFonts w:ascii="Century Schoolbook" w:eastAsia="Times New Roman" w:hAnsi="Century Schoolbook" w:cs="Courier New"/>
          <w:bCs/>
          <w:strike/>
          <w:spacing w:val="-5"/>
          <w:kern w:val="20"/>
          <w:sz w:val="24"/>
          <w:szCs w:val="20"/>
        </w:rPr>
        <w:tab/>
      </w:r>
      <w:r>
        <w:rPr>
          <w:rFonts w:ascii="Century Schoolbook" w:eastAsia="Times New Roman" w:hAnsi="Century Schoolbook" w:cs="Courier New"/>
          <w:bCs/>
          <w:strike/>
          <w:spacing w:val="-5"/>
          <w:kern w:val="20"/>
          <w:sz w:val="24"/>
          <w:szCs w:val="20"/>
        </w:rPr>
        <w:tab/>
        <w:t xml:space="preserve">(B) </w:t>
      </w:r>
      <w:r w:rsidR="00626B5C" w:rsidRPr="00800848">
        <w:rPr>
          <w:rFonts w:ascii="Century Schoolbook" w:eastAsia="Times New Roman" w:hAnsi="Century Schoolbook" w:cs="Courier New"/>
          <w:bCs/>
          <w:strike/>
          <w:spacing w:val="-5"/>
          <w:kern w:val="20"/>
          <w:sz w:val="24"/>
          <w:szCs w:val="20"/>
        </w:rPr>
        <w:t xml:space="preserve"> It is not possible to provide an equitable and sensible allocation of program risk between the Government and the contractor.</w:t>
      </w:r>
    </w:p>
    <w:p w14:paraId="12160E90" w14:textId="77777777" w:rsidR="00626B5C" w:rsidRDefault="00626B5C" w:rsidP="00981A8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0"/>
        </w:rPr>
      </w:pPr>
    </w:p>
    <w:p w14:paraId="6DDD5805" w14:textId="12440E37" w:rsidR="00946383" w:rsidRDefault="00946383" w:rsidP="00981A87">
      <w:pPr>
        <w:tabs>
          <w:tab w:val="left" w:pos="360"/>
          <w:tab w:val="left" w:pos="810"/>
          <w:tab w:val="left" w:pos="1210"/>
          <w:tab w:val="left" w:pos="1656"/>
          <w:tab w:val="left" w:pos="2131"/>
          <w:tab w:val="left" w:pos="2520"/>
        </w:tabs>
        <w:spacing w:after="0" w:line="240" w:lineRule="exact"/>
        <w:rPr>
          <w:rFonts w:ascii="Century Schoolbook" w:hAnsi="Century Schoolbook" w:cs="Courier New"/>
          <w:szCs w:val="24"/>
        </w:rPr>
      </w:pPr>
      <w:r w:rsidRPr="00981A87">
        <w:rPr>
          <w:rFonts w:ascii="Century Schoolbook" w:eastAsia="Times New Roman" w:hAnsi="Century Schoolbook" w:cs="Courier New"/>
          <w:bCs/>
          <w:spacing w:val="-5"/>
          <w:kern w:val="20"/>
          <w:sz w:val="24"/>
          <w:szCs w:val="20"/>
        </w:rPr>
        <w:tab/>
      </w:r>
      <w:r w:rsidRPr="00981A87">
        <w:rPr>
          <w:rFonts w:ascii="Century Schoolbook" w:eastAsia="Times New Roman" w:hAnsi="Century Schoolbook" w:cs="Courier New"/>
          <w:bCs/>
          <w:spacing w:val="-5"/>
          <w:kern w:val="20"/>
          <w:sz w:val="24"/>
          <w:szCs w:val="20"/>
        </w:rPr>
        <w:tab/>
      </w:r>
      <w:r w:rsidR="00626B5C" w:rsidRPr="00800848">
        <w:rPr>
          <w:rFonts w:ascii="Century Schoolbook" w:eastAsia="Times New Roman" w:hAnsi="Century Schoolbook" w:cs="Courier New"/>
          <w:bCs/>
          <w:strike/>
          <w:spacing w:val="-5"/>
          <w:kern w:val="20"/>
          <w:sz w:val="24"/>
          <w:szCs w:val="20"/>
        </w:rPr>
        <w:t>(ii</w:t>
      </w:r>
      <w:r w:rsidR="00626B5C" w:rsidRPr="006235FB">
        <w:rPr>
          <w:rFonts w:ascii="Century Schoolbook" w:eastAsia="Times New Roman" w:hAnsi="Century Schoolbook" w:cs="Courier New"/>
          <w:b/>
          <w:bCs/>
          <w:spacing w:val="-5"/>
          <w:kern w:val="20"/>
          <w:sz w:val="24"/>
          <w:szCs w:val="20"/>
        </w:rPr>
        <w:t>[</w:t>
      </w:r>
      <w:proofErr w:type="spellStart"/>
      <w:r w:rsidR="00626B5C" w:rsidRPr="006235FB">
        <w:rPr>
          <w:rFonts w:ascii="Century Schoolbook" w:eastAsia="Times New Roman" w:hAnsi="Century Schoolbook" w:cs="Courier New"/>
          <w:b/>
          <w:bCs/>
          <w:spacing w:val="-5"/>
          <w:kern w:val="20"/>
          <w:sz w:val="24"/>
          <w:szCs w:val="20"/>
        </w:rPr>
        <w:t>i</w:t>
      </w:r>
      <w:proofErr w:type="spellEnd"/>
      <w:r w:rsidR="00626B5C" w:rsidRPr="006235FB">
        <w:rPr>
          <w:rFonts w:ascii="Century Schoolbook" w:eastAsia="Times New Roman" w:hAnsi="Century Schoolbook" w:cs="Courier New"/>
          <w:b/>
          <w:bCs/>
          <w:spacing w:val="-5"/>
          <w:kern w:val="20"/>
          <w:sz w:val="24"/>
          <w:szCs w:val="20"/>
        </w:rPr>
        <w:t>]</w:t>
      </w:r>
      <w:r w:rsidR="00626B5C">
        <w:rPr>
          <w:rFonts w:ascii="Century Schoolbook" w:eastAsia="Times New Roman" w:hAnsi="Century Schoolbook" w:cs="Courier New"/>
          <w:bCs/>
          <w:spacing w:val="-5"/>
          <w:kern w:val="20"/>
          <w:sz w:val="24"/>
          <w:szCs w:val="20"/>
        </w:rPr>
        <w:t xml:space="preserve">) For major defense acquisition programs as defined in </w:t>
      </w:r>
      <w:r w:rsidR="00626B5C" w:rsidRPr="00981A87">
        <w:rPr>
          <w:rFonts w:ascii="Century Schoolbook" w:hAnsi="Century Schoolbook" w:cs="Courier New"/>
          <w:sz w:val="24"/>
          <w:szCs w:val="24"/>
        </w:rPr>
        <w:t>10 U.S.C. 2430</w:t>
      </w:r>
      <w:r w:rsidR="00EA7232" w:rsidRPr="00981A87">
        <w:rPr>
          <w:rFonts w:ascii="Century Schoolbook" w:hAnsi="Century Schoolbook" w:cs="Courier New"/>
          <w:sz w:val="24"/>
          <w:szCs w:val="24"/>
        </w:rPr>
        <w:t>—</w:t>
      </w:r>
    </w:p>
    <w:p w14:paraId="4B7A0A27" w14:textId="77777777" w:rsidR="00946383" w:rsidRDefault="00946383" w:rsidP="00981A87">
      <w:pPr>
        <w:tabs>
          <w:tab w:val="left" w:pos="360"/>
          <w:tab w:val="left" w:pos="810"/>
          <w:tab w:val="left" w:pos="1210"/>
          <w:tab w:val="left" w:pos="1656"/>
          <w:tab w:val="left" w:pos="2131"/>
          <w:tab w:val="left" w:pos="2520"/>
        </w:tabs>
        <w:spacing w:after="0" w:line="240" w:lineRule="exact"/>
        <w:rPr>
          <w:rFonts w:ascii="Century Schoolbook" w:hAnsi="Century Schoolbook" w:cs="Courier New"/>
          <w:szCs w:val="24"/>
        </w:rPr>
      </w:pPr>
    </w:p>
    <w:p w14:paraId="37467EB2" w14:textId="1539327E" w:rsidR="00626B5C" w:rsidRPr="006265AA" w:rsidRDefault="00946383" w:rsidP="00981A87">
      <w:pPr>
        <w:tabs>
          <w:tab w:val="left" w:pos="360"/>
          <w:tab w:val="left" w:pos="806"/>
          <w:tab w:val="left" w:pos="1210"/>
          <w:tab w:val="left" w:pos="1656"/>
          <w:tab w:val="left" w:pos="2131"/>
          <w:tab w:val="left" w:pos="2520"/>
        </w:tabs>
        <w:spacing w:after="0" w:line="240" w:lineRule="exact"/>
        <w:rPr>
          <w:rFonts w:ascii="Century Schoolbook" w:hAnsi="Century Schoolbook" w:cs="Courier New"/>
          <w:sz w:val="24"/>
          <w:szCs w:val="24"/>
        </w:rPr>
      </w:pPr>
      <w:r>
        <w:rPr>
          <w:rFonts w:ascii="Century Schoolbook" w:eastAsia="Times New Roman" w:hAnsi="Century Schoolbook" w:cs="Courier New"/>
          <w:bCs/>
          <w:spacing w:val="-5"/>
          <w:kern w:val="20"/>
          <w:sz w:val="24"/>
          <w:szCs w:val="20"/>
        </w:rPr>
        <w:tab/>
      </w:r>
      <w:r>
        <w:rPr>
          <w:rFonts w:ascii="Century Schoolbook" w:eastAsia="Times New Roman" w:hAnsi="Century Schoolbook" w:cs="Courier New"/>
          <w:bCs/>
          <w:spacing w:val="-5"/>
          <w:kern w:val="20"/>
          <w:sz w:val="24"/>
          <w:szCs w:val="20"/>
        </w:rPr>
        <w:tab/>
      </w:r>
      <w:r>
        <w:rPr>
          <w:rFonts w:ascii="Century Schoolbook" w:eastAsia="Times New Roman" w:hAnsi="Century Schoolbook" w:cs="Courier New"/>
          <w:bCs/>
          <w:spacing w:val="-5"/>
          <w:kern w:val="20"/>
          <w:sz w:val="24"/>
          <w:szCs w:val="20"/>
        </w:rPr>
        <w:tab/>
        <w:t xml:space="preserve">(A) </w:t>
      </w:r>
      <w:r w:rsidR="00626B5C">
        <w:rPr>
          <w:rFonts w:ascii="Century Schoolbook" w:eastAsia="Times New Roman" w:hAnsi="Century Schoolbook" w:cs="Courier New"/>
          <w:bCs/>
          <w:spacing w:val="-5"/>
          <w:kern w:val="20"/>
          <w:sz w:val="24"/>
          <w:szCs w:val="20"/>
        </w:rPr>
        <w:t xml:space="preserve"> </w:t>
      </w:r>
      <w:r w:rsidR="00626B5C" w:rsidRPr="006265AA">
        <w:rPr>
          <w:rFonts w:ascii="Century Schoolbook" w:eastAsia="Times New Roman" w:hAnsi="Century Schoolbook" w:cs="Courier New"/>
          <w:bCs/>
          <w:spacing w:val="-5"/>
          <w:kern w:val="20"/>
          <w:sz w:val="24"/>
          <w:szCs w:val="20"/>
        </w:rPr>
        <w:t xml:space="preserve">Follow the procedures </w:t>
      </w:r>
      <w:r w:rsidR="00626B5C" w:rsidRPr="006265AA">
        <w:rPr>
          <w:rFonts w:ascii="Century Schoolbook" w:hAnsi="Century Schoolbook" w:cs="Courier New"/>
          <w:sz w:val="24"/>
          <w:szCs w:val="24"/>
        </w:rPr>
        <w:t xml:space="preserve">at </w:t>
      </w:r>
      <w:hyperlink r:id="rId17" w:anchor="234.004" w:history="1">
        <w:r w:rsidR="00626B5C" w:rsidRPr="006265AA">
          <w:rPr>
            <w:rStyle w:val="Hyperlink"/>
            <w:rFonts w:ascii="Century Schoolbook" w:hAnsi="Century Schoolbook" w:cs="Courier New"/>
            <w:sz w:val="24"/>
            <w:szCs w:val="24"/>
          </w:rPr>
          <w:t>234.004</w:t>
        </w:r>
      </w:hyperlink>
      <w:r w:rsidR="00626B5C" w:rsidRPr="006265AA">
        <w:rPr>
          <w:rFonts w:ascii="Century Schoolbook" w:hAnsi="Century Schoolbook" w:cs="Courier New"/>
          <w:sz w:val="24"/>
          <w:szCs w:val="24"/>
        </w:rPr>
        <w:t>; and</w:t>
      </w:r>
    </w:p>
    <w:p w14:paraId="26774037" w14:textId="77777777" w:rsidR="00626B5C" w:rsidRDefault="00626B5C">
      <w:pPr>
        <w:tabs>
          <w:tab w:val="left" w:pos="360"/>
          <w:tab w:val="left" w:pos="810"/>
          <w:tab w:val="left" w:pos="1210"/>
          <w:tab w:val="left" w:pos="1656"/>
          <w:tab w:val="left" w:pos="2131"/>
          <w:tab w:val="left" w:pos="2520"/>
        </w:tabs>
        <w:spacing w:after="0" w:line="240" w:lineRule="exact"/>
        <w:rPr>
          <w:rFonts w:ascii="Century Schoolbook" w:hAnsi="Century Schoolbook" w:cs="Courier New"/>
          <w:sz w:val="24"/>
          <w:szCs w:val="24"/>
        </w:rPr>
      </w:pPr>
    </w:p>
    <w:p w14:paraId="47B620DE" w14:textId="7A913520" w:rsidR="00626B5C" w:rsidRPr="00D8798D" w:rsidRDefault="00626B5C">
      <w:pPr>
        <w:pStyle w:val="DFARS"/>
        <w:rPr>
          <w:rFonts w:cs="Courier New"/>
          <w:szCs w:val="24"/>
        </w:rPr>
      </w:pPr>
      <w:r>
        <w:rPr>
          <w:rFonts w:cs="Courier New"/>
          <w:szCs w:val="24"/>
        </w:rPr>
        <w:tab/>
      </w:r>
      <w:r>
        <w:rPr>
          <w:rFonts w:cs="Courier New"/>
          <w:szCs w:val="24"/>
        </w:rPr>
        <w:tab/>
      </w:r>
      <w:r w:rsidR="00946383">
        <w:rPr>
          <w:rFonts w:cs="Courier New"/>
          <w:szCs w:val="24"/>
        </w:rPr>
        <w:tab/>
      </w:r>
      <w:r w:rsidRPr="00D8798D">
        <w:rPr>
          <w:rFonts w:cs="Courier New"/>
          <w:szCs w:val="24"/>
        </w:rPr>
        <w:t xml:space="preserve">(B)  Notify the </w:t>
      </w:r>
      <w:r>
        <w:rPr>
          <w:rFonts w:cs="Courier New"/>
          <w:szCs w:val="24"/>
        </w:rPr>
        <w:t>milestone decision authority</w:t>
      </w:r>
      <w:r w:rsidRPr="00D8798D">
        <w:rPr>
          <w:rFonts w:cs="Courier New"/>
          <w:szCs w:val="24"/>
        </w:rPr>
        <w:t xml:space="preserve"> of an intent not to exercise a fixed-price production option on a development contract for a major weapon system reasonably in advance of the expiration of the option exercise period.</w:t>
      </w:r>
    </w:p>
    <w:p w14:paraId="3117B280" w14:textId="77777777" w:rsidR="00626B5C" w:rsidRDefault="00626B5C" w:rsidP="00981A87">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0"/>
        </w:rPr>
      </w:pPr>
    </w:p>
    <w:p w14:paraId="7527A7C5" w14:textId="2134F8A6" w:rsidR="00626B5C" w:rsidRPr="00D8798D" w:rsidRDefault="00764213" w:rsidP="00981A87">
      <w:pPr>
        <w:pStyle w:val="DFARS"/>
        <w:rPr>
          <w:rFonts w:cs="Courier New"/>
          <w:szCs w:val="24"/>
        </w:rPr>
      </w:pPr>
      <w:r w:rsidRPr="00981A87">
        <w:rPr>
          <w:rFonts w:cs="Courier New"/>
          <w:szCs w:val="24"/>
        </w:rPr>
        <w:tab/>
      </w:r>
      <w:r w:rsidRPr="00981A87">
        <w:rPr>
          <w:rFonts w:cs="Courier New"/>
          <w:szCs w:val="24"/>
        </w:rPr>
        <w:tab/>
      </w:r>
      <w:r w:rsidR="00626B5C" w:rsidRPr="00800848">
        <w:rPr>
          <w:rFonts w:cs="Courier New"/>
          <w:strike/>
          <w:szCs w:val="24"/>
        </w:rPr>
        <w:t>(iii</w:t>
      </w:r>
      <w:r w:rsidR="00626B5C" w:rsidRPr="006235FB">
        <w:rPr>
          <w:rFonts w:cs="Courier New"/>
          <w:b/>
          <w:szCs w:val="24"/>
        </w:rPr>
        <w:t>[ii]</w:t>
      </w:r>
      <w:r w:rsidR="00626B5C">
        <w:rPr>
          <w:rFonts w:cs="Courier New"/>
          <w:szCs w:val="24"/>
        </w:rPr>
        <w:t xml:space="preserve">) </w:t>
      </w:r>
      <w:r w:rsidR="00626B5C" w:rsidRPr="00D8798D">
        <w:rPr>
          <w:rFonts w:cs="Courier New"/>
          <w:szCs w:val="24"/>
        </w:rPr>
        <w:t>For other than major defense acquisition programs—</w:t>
      </w:r>
    </w:p>
    <w:p w14:paraId="0D5C3784" w14:textId="77777777" w:rsidR="00626B5C" w:rsidRPr="00D8798D" w:rsidRDefault="00626B5C">
      <w:pPr>
        <w:pStyle w:val="DFARS"/>
        <w:rPr>
          <w:rFonts w:cs="Courier New"/>
          <w:szCs w:val="24"/>
        </w:rPr>
      </w:pPr>
    </w:p>
    <w:p w14:paraId="25CA7BAD" w14:textId="77777777"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  Do not award a fixed-price type contract for a development program effort unless—</w:t>
      </w:r>
    </w:p>
    <w:p w14:paraId="63F76294" w14:textId="77777777" w:rsidR="00626B5C" w:rsidRPr="00D8798D" w:rsidRDefault="00626B5C">
      <w:pPr>
        <w:pStyle w:val="DFARS"/>
        <w:rPr>
          <w:rFonts w:cs="Courier New"/>
          <w:szCs w:val="24"/>
        </w:rPr>
      </w:pPr>
    </w:p>
    <w:p w14:paraId="248DB397" w14:textId="77777777"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t>(</w:t>
      </w:r>
      <w:r w:rsidRPr="00D8798D">
        <w:rPr>
          <w:rFonts w:cs="Courier New"/>
          <w:i/>
          <w:szCs w:val="24"/>
        </w:rPr>
        <w:t>1</w:t>
      </w:r>
      <w:r w:rsidRPr="00D8798D">
        <w:rPr>
          <w:rFonts w:cs="Courier New"/>
          <w:szCs w:val="24"/>
        </w:rPr>
        <w:t>)  The level of program risk permits realistic pricing;</w:t>
      </w:r>
    </w:p>
    <w:p w14:paraId="6B2F69F1" w14:textId="77777777" w:rsidR="00626B5C" w:rsidRPr="00D8798D" w:rsidRDefault="00626B5C">
      <w:pPr>
        <w:pStyle w:val="DFARS"/>
        <w:rPr>
          <w:rFonts w:cs="Courier New"/>
          <w:szCs w:val="24"/>
        </w:rPr>
      </w:pPr>
    </w:p>
    <w:p w14:paraId="15002456" w14:textId="77777777"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t>(</w:t>
      </w:r>
      <w:r w:rsidRPr="00D8798D">
        <w:rPr>
          <w:rFonts w:cs="Courier New"/>
          <w:i/>
          <w:szCs w:val="24"/>
        </w:rPr>
        <w:t>2</w:t>
      </w:r>
      <w:r w:rsidRPr="00D8798D">
        <w:rPr>
          <w:rFonts w:cs="Courier New"/>
          <w:szCs w:val="24"/>
        </w:rPr>
        <w:t>)  The use of a fixed-price type contract permits an equitable and sensible allocation of program risk between the Government and the contractor; and</w:t>
      </w:r>
    </w:p>
    <w:p w14:paraId="417EAC5E" w14:textId="77777777" w:rsidR="00626B5C" w:rsidRPr="00D8798D" w:rsidRDefault="00626B5C">
      <w:pPr>
        <w:pStyle w:val="DFARS"/>
        <w:rPr>
          <w:rFonts w:cs="Courier New"/>
          <w:szCs w:val="24"/>
        </w:rPr>
      </w:pPr>
    </w:p>
    <w:p w14:paraId="37A788F0" w14:textId="5C40E13B"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t>(</w:t>
      </w:r>
      <w:r w:rsidRPr="00D8798D">
        <w:rPr>
          <w:rFonts w:cs="Courier New"/>
          <w:i/>
          <w:szCs w:val="24"/>
        </w:rPr>
        <w:t>3</w:t>
      </w:r>
      <w:r w:rsidRPr="00D8798D">
        <w:rPr>
          <w:rFonts w:cs="Courier New"/>
          <w:szCs w:val="24"/>
        </w:rPr>
        <w:t>)  A written determination that the criteria of paragraphs (b)(</w:t>
      </w:r>
      <w:r w:rsidRPr="00981A87">
        <w:rPr>
          <w:rFonts w:cs="Courier New"/>
          <w:strike/>
          <w:szCs w:val="24"/>
        </w:rPr>
        <w:t>iii</w:t>
      </w:r>
      <w:r w:rsidR="00F304A0" w:rsidRPr="00981A87">
        <w:rPr>
          <w:rFonts w:cs="Courier New"/>
          <w:b/>
          <w:bCs/>
          <w:szCs w:val="24"/>
        </w:rPr>
        <w:t>[ii</w:t>
      </w:r>
      <w:proofErr w:type="gramStart"/>
      <w:r w:rsidR="00F304A0" w:rsidRPr="00981A87">
        <w:rPr>
          <w:rFonts w:cs="Courier New"/>
          <w:b/>
          <w:bCs/>
          <w:szCs w:val="24"/>
        </w:rPr>
        <w:t>]</w:t>
      </w:r>
      <w:r w:rsidRPr="00D8798D">
        <w:rPr>
          <w:rFonts w:cs="Courier New"/>
          <w:szCs w:val="24"/>
        </w:rPr>
        <w:t>)(</w:t>
      </w:r>
      <w:proofErr w:type="gramEnd"/>
      <w:r w:rsidRPr="00D8798D">
        <w:rPr>
          <w:rFonts w:cs="Courier New"/>
          <w:szCs w:val="24"/>
        </w:rPr>
        <w:t>A)</w:t>
      </w:r>
      <w:r w:rsidRPr="00D8798D">
        <w:rPr>
          <w:rFonts w:cs="Courier New"/>
          <w:i/>
          <w:szCs w:val="24"/>
        </w:rPr>
        <w:t>(1)</w:t>
      </w:r>
      <w:r w:rsidRPr="00D8798D">
        <w:rPr>
          <w:rFonts w:cs="Courier New"/>
          <w:szCs w:val="24"/>
        </w:rPr>
        <w:t xml:space="preserve"> and (</w:t>
      </w:r>
      <w:r w:rsidRPr="00D8798D">
        <w:rPr>
          <w:rFonts w:cs="Courier New"/>
          <w:i/>
          <w:szCs w:val="24"/>
        </w:rPr>
        <w:t>2</w:t>
      </w:r>
      <w:r w:rsidRPr="00D8798D">
        <w:rPr>
          <w:rFonts w:cs="Courier New"/>
          <w:szCs w:val="24"/>
        </w:rPr>
        <w:t>) of this section have been met is executed—</w:t>
      </w:r>
    </w:p>
    <w:p w14:paraId="313D35A8" w14:textId="77777777" w:rsidR="00626B5C" w:rsidRPr="00D8798D" w:rsidRDefault="00626B5C">
      <w:pPr>
        <w:pStyle w:val="DFARS"/>
        <w:rPr>
          <w:rFonts w:cs="Courier New"/>
          <w:szCs w:val="24"/>
        </w:rPr>
      </w:pPr>
    </w:p>
    <w:p w14:paraId="6147B79C" w14:textId="61C3658F"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r>
      <w:r w:rsidRPr="00D8798D">
        <w:rPr>
          <w:rFonts w:cs="Courier New"/>
          <w:szCs w:val="24"/>
        </w:rPr>
        <w:tab/>
      </w:r>
      <w:r w:rsidRPr="00D8798D">
        <w:rPr>
          <w:rFonts w:cs="Courier New"/>
          <w:i/>
          <w:szCs w:val="24"/>
        </w:rPr>
        <w:t>(</w:t>
      </w:r>
      <w:proofErr w:type="spellStart"/>
      <w:r w:rsidRPr="00D8798D">
        <w:rPr>
          <w:rFonts w:cs="Courier New"/>
          <w:i/>
          <w:szCs w:val="24"/>
        </w:rPr>
        <w:t>i</w:t>
      </w:r>
      <w:proofErr w:type="spellEnd"/>
      <w:r w:rsidRPr="00D8798D">
        <w:rPr>
          <w:rFonts w:cs="Courier New"/>
          <w:i/>
          <w:szCs w:val="24"/>
        </w:rPr>
        <w:t>)</w:t>
      </w:r>
      <w:r w:rsidRPr="00D8798D">
        <w:rPr>
          <w:rFonts w:cs="Courier New"/>
          <w:szCs w:val="24"/>
        </w:rPr>
        <w:t xml:space="preserve">  By the USD(</w:t>
      </w:r>
      <w:r>
        <w:rPr>
          <w:rFonts w:cs="Courier New"/>
          <w:szCs w:val="24"/>
        </w:rPr>
        <w:t>A&amp;S</w:t>
      </w:r>
      <w:r w:rsidRPr="00D8798D">
        <w:rPr>
          <w:rFonts w:cs="Courier New"/>
          <w:szCs w:val="24"/>
        </w:rPr>
        <w:t>) if the contract is over $25 million and is for: research and development for a non-major system; the development of a major system (as defined in FAR 2.101); or the development of a subsystem of a major system; or</w:t>
      </w:r>
    </w:p>
    <w:p w14:paraId="175BD2E3" w14:textId="77777777" w:rsidR="00626B5C" w:rsidRPr="00D8798D" w:rsidRDefault="00626B5C">
      <w:pPr>
        <w:pStyle w:val="DFARS"/>
        <w:rPr>
          <w:rFonts w:cs="Courier New"/>
          <w:szCs w:val="24"/>
        </w:rPr>
      </w:pPr>
    </w:p>
    <w:p w14:paraId="3966ECDF" w14:textId="7D4C2BFD" w:rsidR="00626B5C" w:rsidRPr="00D8798D" w:rsidRDefault="00626B5C" w:rsidP="00981A87">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r>
      <w:r w:rsidRPr="00D8798D">
        <w:rPr>
          <w:rFonts w:cs="Courier New"/>
          <w:szCs w:val="24"/>
        </w:rPr>
        <w:tab/>
      </w:r>
      <w:r w:rsidRPr="00D8798D">
        <w:rPr>
          <w:rFonts w:cs="Courier New"/>
          <w:i/>
          <w:szCs w:val="24"/>
        </w:rPr>
        <w:t>(ii)</w:t>
      </w:r>
      <w:r w:rsidRPr="00D8798D">
        <w:rPr>
          <w:rFonts w:cs="Courier New"/>
          <w:szCs w:val="24"/>
        </w:rPr>
        <w:t xml:space="preserve">  By the contracting officer for any development not covered by paragraph (b)(</w:t>
      </w:r>
      <w:r w:rsidRPr="00981A87">
        <w:rPr>
          <w:rFonts w:cs="Courier New"/>
          <w:strike/>
          <w:szCs w:val="24"/>
        </w:rPr>
        <w:t>iii</w:t>
      </w:r>
      <w:r w:rsidR="00F304A0" w:rsidRPr="00981A87">
        <w:rPr>
          <w:rFonts w:cs="Courier New"/>
          <w:b/>
          <w:bCs/>
          <w:szCs w:val="24"/>
        </w:rPr>
        <w:t>[ii</w:t>
      </w:r>
      <w:proofErr w:type="gramStart"/>
      <w:r w:rsidR="00F304A0" w:rsidRPr="00981A87">
        <w:rPr>
          <w:rFonts w:cs="Courier New"/>
          <w:b/>
          <w:bCs/>
          <w:szCs w:val="24"/>
        </w:rPr>
        <w:t>]</w:t>
      </w:r>
      <w:r w:rsidRPr="00D8798D">
        <w:rPr>
          <w:rFonts w:cs="Courier New"/>
          <w:szCs w:val="24"/>
        </w:rPr>
        <w:t>)(</w:t>
      </w:r>
      <w:proofErr w:type="gramEnd"/>
      <w:r w:rsidRPr="00D8798D">
        <w:rPr>
          <w:rFonts w:cs="Courier New"/>
          <w:szCs w:val="24"/>
        </w:rPr>
        <w:t>A)</w:t>
      </w:r>
      <w:r w:rsidRPr="00D8798D">
        <w:rPr>
          <w:rFonts w:cs="Courier New"/>
          <w:i/>
          <w:szCs w:val="24"/>
        </w:rPr>
        <w:t>(3)(</w:t>
      </w:r>
      <w:proofErr w:type="spellStart"/>
      <w:r w:rsidRPr="00D8798D">
        <w:rPr>
          <w:rFonts w:cs="Courier New"/>
          <w:i/>
          <w:szCs w:val="24"/>
        </w:rPr>
        <w:t>i</w:t>
      </w:r>
      <w:proofErr w:type="spellEnd"/>
      <w:r w:rsidRPr="00D8798D">
        <w:rPr>
          <w:rFonts w:cs="Courier New"/>
          <w:i/>
          <w:szCs w:val="24"/>
        </w:rPr>
        <w:t>)</w:t>
      </w:r>
      <w:r w:rsidRPr="00D8798D">
        <w:rPr>
          <w:rFonts w:cs="Courier New"/>
          <w:szCs w:val="24"/>
        </w:rPr>
        <w:t xml:space="preserve"> of this section.</w:t>
      </w:r>
    </w:p>
    <w:p w14:paraId="3C99EEA5" w14:textId="77777777" w:rsidR="00626B5C" w:rsidRPr="00D8798D" w:rsidRDefault="00626B5C">
      <w:pPr>
        <w:pStyle w:val="DFARS"/>
        <w:rPr>
          <w:rFonts w:cs="Courier New"/>
          <w:szCs w:val="24"/>
        </w:rPr>
      </w:pPr>
    </w:p>
    <w:p w14:paraId="20176EBD" w14:textId="510C7A7E" w:rsidR="00626B5C" w:rsidRPr="00D8798D" w:rsidRDefault="00626B5C">
      <w:pPr>
        <w:pStyle w:val="DFARS"/>
        <w:rPr>
          <w:rFonts w:cs="Courier New"/>
          <w:szCs w:val="24"/>
        </w:rPr>
      </w:pPr>
      <w:r>
        <w:rPr>
          <w:rFonts w:cs="Courier New"/>
          <w:szCs w:val="24"/>
        </w:rPr>
        <w:tab/>
      </w:r>
      <w:r>
        <w:rPr>
          <w:rFonts w:cs="Courier New"/>
          <w:szCs w:val="24"/>
        </w:rPr>
        <w:tab/>
      </w:r>
      <w:r>
        <w:rPr>
          <w:rFonts w:cs="Courier New"/>
          <w:szCs w:val="24"/>
        </w:rPr>
        <w:tab/>
      </w:r>
      <w:r w:rsidRPr="00D8798D">
        <w:rPr>
          <w:rFonts w:cs="Courier New"/>
          <w:szCs w:val="24"/>
        </w:rPr>
        <w:t>(B)  Obtain USD(</w:t>
      </w:r>
      <w:r>
        <w:rPr>
          <w:rFonts w:cs="Courier New"/>
          <w:szCs w:val="24"/>
        </w:rPr>
        <w:t>A&amp;S</w:t>
      </w:r>
      <w:r w:rsidRPr="00D8798D">
        <w:rPr>
          <w:rFonts w:cs="Courier New"/>
          <w:szCs w:val="24"/>
        </w:rPr>
        <w:t xml:space="preserve">) approval of the Government’s </w:t>
      </w:r>
      <w:proofErr w:type="spellStart"/>
      <w:r w:rsidRPr="00D8798D">
        <w:rPr>
          <w:rFonts w:cs="Courier New"/>
          <w:szCs w:val="24"/>
        </w:rPr>
        <w:t>prenegotiation</w:t>
      </w:r>
      <w:proofErr w:type="spellEnd"/>
      <w:r w:rsidRPr="00D8798D">
        <w:rPr>
          <w:rFonts w:cs="Courier New"/>
          <w:szCs w:val="24"/>
        </w:rPr>
        <w:t xml:space="preserve"> position before negotiations begin, and obtain USD(</w:t>
      </w:r>
      <w:r>
        <w:rPr>
          <w:rFonts w:cs="Courier New"/>
          <w:szCs w:val="24"/>
        </w:rPr>
        <w:t>A&amp;S</w:t>
      </w:r>
      <w:r w:rsidRPr="00D8798D">
        <w:rPr>
          <w:rFonts w:cs="Courier New"/>
          <w:szCs w:val="24"/>
        </w:rPr>
        <w:t>) approval of the negotiated agreement with the contractor before the agreement is executed, for any action that is—</w:t>
      </w:r>
    </w:p>
    <w:p w14:paraId="3E0007C0" w14:textId="77777777" w:rsidR="00626B5C" w:rsidRPr="00D8798D" w:rsidRDefault="00626B5C">
      <w:pPr>
        <w:pStyle w:val="DFARS"/>
        <w:rPr>
          <w:rFonts w:cs="Courier New"/>
          <w:szCs w:val="24"/>
        </w:rPr>
      </w:pPr>
    </w:p>
    <w:p w14:paraId="22362858" w14:textId="77777777"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t>(</w:t>
      </w:r>
      <w:r w:rsidRPr="00D8798D">
        <w:rPr>
          <w:rFonts w:cs="Courier New"/>
          <w:i/>
          <w:szCs w:val="24"/>
        </w:rPr>
        <w:t>1</w:t>
      </w:r>
      <w:r w:rsidRPr="00D8798D">
        <w:rPr>
          <w:rFonts w:cs="Courier New"/>
          <w:szCs w:val="24"/>
        </w:rPr>
        <w:t>)  An increase of more than $250 million in the price or ceiling price of a fixed-price type development contract, or a fixed-price type contract for the lead ship of a class;</w:t>
      </w:r>
    </w:p>
    <w:p w14:paraId="12B67869" w14:textId="77777777" w:rsidR="00626B5C" w:rsidRPr="00D8798D" w:rsidRDefault="00626B5C">
      <w:pPr>
        <w:pStyle w:val="DFARS"/>
        <w:rPr>
          <w:rFonts w:cs="Courier New"/>
          <w:szCs w:val="24"/>
        </w:rPr>
      </w:pPr>
    </w:p>
    <w:p w14:paraId="7D360FB6" w14:textId="77777777"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t>(</w:t>
      </w:r>
      <w:r w:rsidRPr="00D8798D">
        <w:rPr>
          <w:rFonts w:cs="Courier New"/>
          <w:i/>
          <w:szCs w:val="24"/>
        </w:rPr>
        <w:t>2</w:t>
      </w:r>
      <w:r w:rsidRPr="00D8798D">
        <w:rPr>
          <w:rFonts w:cs="Courier New"/>
          <w:szCs w:val="24"/>
        </w:rPr>
        <w:t>)  A reduction in the amount of work under a fixed-price type development contract or a fixed-price type contract for the lead ship of a class, when the value of the work deleted is $100 million or more; or</w:t>
      </w:r>
    </w:p>
    <w:p w14:paraId="1E05A278" w14:textId="77777777" w:rsidR="00626B5C" w:rsidRPr="00D8798D" w:rsidRDefault="00626B5C">
      <w:pPr>
        <w:pStyle w:val="DFARS"/>
        <w:rPr>
          <w:rFonts w:cs="Courier New"/>
          <w:szCs w:val="24"/>
        </w:rPr>
      </w:pPr>
    </w:p>
    <w:p w14:paraId="5936980E" w14:textId="77777777" w:rsidR="00626B5C" w:rsidRPr="00D8798D" w:rsidRDefault="00626B5C">
      <w:pPr>
        <w:pStyle w:val="DFARS"/>
        <w:rPr>
          <w:rFonts w:cs="Courier New"/>
          <w:szCs w:val="24"/>
        </w:rPr>
      </w:pPr>
      <w:r w:rsidRPr="00D8798D">
        <w:rPr>
          <w:rFonts w:cs="Courier New"/>
          <w:szCs w:val="24"/>
        </w:rPr>
        <w:tab/>
      </w:r>
      <w:r w:rsidRPr="00D8798D">
        <w:rPr>
          <w:rFonts w:cs="Courier New"/>
          <w:szCs w:val="24"/>
        </w:rPr>
        <w:tab/>
      </w:r>
      <w:r>
        <w:rPr>
          <w:rFonts w:cs="Courier New"/>
          <w:szCs w:val="24"/>
        </w:rPr>
        <w:tab/>
      </w:r>
      <w:r w:rsidRPr="00D8798D">
        <w:rPr>
          <w:rFonts w:cs="Courier New"/>
          <w:szCs w:val="24"/>
        </w:rPr>
        <w:tab/>
        <w:t>(</w:t>
      </w:r>
      <w:r w:rsidRPr="00D8798D">
        <w:rPr>
          <w:rFonts w:cs="Courier New"/>
          <w:i/>
          <w:szCs w:val="24"/>
        </w:rPr>
        <w:t>3</w:t>
      </w:r>
      <w:r w:rsidRPr="00D8798D">
        <w:rPr>
          <w:rFonts w:cs="Courier New"/>
          <w:szCs w:val="24"/>
        </w:rPr>
        <w:t>)  A repricing of fixed-price type production options to a development contract, or a contract for the lead ship of a class, that increases the price or ceiling price by more than $250 million for equivalent quantities.</w:t>
      </w:r>
    </w:p>
    <w:p w14:paraId="1B0087E2" w14:textId="77777777" w:rsidR="00626B5C" w:rsidRPr="00626B5C" w:rsidRDefault="00626B5C">
      <w:pPr>
        <w:pStyle w:val="DFARS"/>
        <w:rPr>
          <w:b/>
        </w:rPr>
      </w:pPr>
    </w:p>
    <w:p w14:paraId="5103FFF3" w14:textId="722B5180" w:rsidR="00A6470D" w:rsidRPr="00046B52" w:rsidRDefault="00626B5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C06DD6">
        <w:rPr>
          <w:rFonts w:ascii="Century Schoolbook" w:eastAsia="Times New Roman" w:hAnsi="Century Schoolbook" w:cs="Times New Roman"/>
          <w:spacing w:val="-5"/>
          <w:kern w:val="20"/>
          <w:sz w:val="24"/>
          <w:szCs w:val="20"/>
        </w:rPr>
        <w:t>* * * * *</w:t>
      </w:r>
      <w:bookmarkEnd w:id="1"/>
      <w:bookmarkEnd w:id="2"/>
    </w:p>
    <w:sectPr w:rsidR="00A6470D" w:rsidRPr="00046B52" w:rsidSect="00023E59">
      <w:footerReference w:type="default" r:id="rId1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207D" w16cex:dateUtc="2022-04-06T21:21:00Z"/>
  <w16cex:commentExtensible w16cex:durableId="25F81EBC" w16cex:dateUtc="2022-04-06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728B0" w16cid:durableId="25F8207D"/>
  <w16cid:commentId w16cid:paraId="0E455AC8" w16cid:durableId="25F81E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0A3BA" w14:textId="77777777" w:rsidR="00D45651" w:rsidRDefault="00D45651" w:rsidP="00100069">
      <w:pPr>
        <w:spacing w:after="0" w:line="240" w:lineRule="auto"/>
      </w:pPr>
      <w:r>
        <w:separator/>
      </w:r>
    </w:p>
  </w:endnote>
  <w:endnote w:type="continuationSeparator" w:id="0">
    <w:p w14:paraId="1D9C6AD3" w14:textId="77777777" w:rsidR="00D45651" w:rsidRDefault="00D45651" w:rsidP="0010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0396" w14:textId="1A256369" w:rsidR="00247370" w:rsidRPr="00853AAB" w:rsidRDefault="00247370" w:rsidP="00717821">
    <w:pPr>
      <w:pStyle w:val="Footer"/>
      <w:jc w:val="center"/>
      <w:rPr>
        <w:rFonts w:ascii="Century Schoolbook" w:hAnsi="Century Schoolbook"/>
      </w:rPr>
    </w:pPr>
    <w:r w:rsidRPr="00853AAB">
      <w:rPr>
        <w:rFonts w:ascii="Century Schoolbook" w:hAnsi="Century Schoolbook"/>
      </w:rPr>
      <w:t xml:space="preserve">Page </w:t>
    </w:r>
    <w:r w:rsidRPr="00853AAB">
      <w:rPr>
        <w:rFonts w:ascii="Century Schoolbook" w:hAnsi="Century Schoolbook"/>
      </w:rPr>
      <w:fldChar w:fldCharType="begin"/>
    </w:r>
    <w:r w:rsidRPr="00853AAB">
      <w:rPr>
        <w:rFonts w:ascii="Century Schoolbook" w:hAnsi="Century Schoolbook"/>
      </w:rPr>
      <w:instrText xml:space="preserve"> PAGE </w:instrText>
    </w:r>
    <w:r w:rsidRPr="00853AAB">
      <w:rPr>
        <w:rFonts w:ascii="Century Schoolbook" w:hAnsi="Century Schoolbook"/>
      </w:rPr>
      <w:fldChar w:fldCharType="separate"/>
    </w:r>
    <w:r w:rsidR="00E33B36">
      <w:rPr>
        <w:rFonts w:ascii="Century Schoolbook" w:hAnsi="Century Schoolbook"/>
        <w:noProof/>
      </w:rPr>
      <w:t>3</w:t>
    </w:r>
    <w:r w:rsidRPr="00853AAB">
      <w:rPr>
        <w:rFonts w:ascii="Century Schoolbook" w:hAnsi="Century Schoolbook"/>
      </w:rPr>
      <w:fldChar w:fldCharType="end"/>
    </w:r>
    <w:r w:rsidRPr="00853AAB">
      <w:rPr>
        <w:rFonts w:ascii="Century Schoolbook" w:hAnsi="Century Schoolbook"/>
      </w:rPr>
      <w:t xml:space="preserve"> of </w:t>
    </w:r>
    <w:r w:rsidRPr="00853AAB">
      <w:rPr>
        <w:rFonts w:ascii="Century Schoolbook" w:hAnsi="Century Schoolbook"/>
      </w:rPr>
      <w:fldChar w:fldCharType="begin"/>
    </w:r>
    <w:r w:rsidRPr="00853AAB">
      <w:rPr>
        <w:rFonts w:ascii="Century Schoolbook" w:hAnsi="Century Schoolbook"/>
      </w:rPr>
      <w:instrText xml:space="preserve"> NUMPAGES  </w:instrText>
    </w:r>
    <w:r w:rsidRPr="00853AAB">
      <w:rPr>
        <w:rFonts w:ascii="Century Schoolbook" w:hAnsi="Century Schoolbook"/>
      </w:rPr>
      <w:fldChar w:fldCharType="separate"/>
    </w:r>
    <w:r w:rsidR="00E33B36">
      <w:rPr>
        <w:rFonts w:ascii="Century Schoolbook" w:hAnsi="Century Schoolbook"/>
        <w:noProof/>
      </w:rPr>
      <w:t>3</w:t>
    </w:r>
    <w:r w:rsidRPr="00853AAB">
      <w:rPr>
        <w:rFonts w:ascii="Century Schoolbook" w:hAnsi="Century Schoolboo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6188" w14:textId="77777777" w:rsidR="00D45651" w:rsidRDefault="00D45651" w:rsidP="00100069">
      <w:pPr>
        <w:spacing w:after="0" w:line="240" w:lineRule="auto"/>
      </w:pPr>
      <w:r>
        <w:separator/>
      </w:r>
    </w:p>
  </w:footnote>
  <w:footnote w:type="continuationSeparator" w:id="0">
    <w:p w14:paraId="2F4E1EE7" w14:textId="77777777" w:rsidR="00D45651" w:rsidRDefault="00D45651" w:rsidP="0010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856"/>
    <w:multiLevelType w:val="hybridMultilevel"/>
    <w:tmpl w:val="F2BA5F5C"/>
    <w:lvl w:ilvl="0" w:tplc="D4C28F82">
      <w:start w:val="1"/>
      <w:numFmt w:val="upperLetter"/>
      <w:lvlText w:val="(%1)"/>
      <w:lvlJc w:val="left"/>
      <w:pPr>
        <w:ind w:left="1170" w:hanging="360"/>
      </w:pPr>
      <w:rPr>
        <w:rFonts w:eastAsia="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7767111"/>
    <w:multiLevelType w:val="hybridMultilevel"/>
    <w:tmpl w:val="33FE0E3A"/>
    <w:lvl w:ilvl="0" w:tplc="58BA447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4001"/>
    <w:multiLevelType w:val="hybridMultilevel"/>
    <w:tmpl w:val="D5EC357C"/>
    <w:lvl w:ilvl="0" w:tplc="2AB6DA1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E3167"/>
    <w:multiLevelType w:val="hybridMultilevel"/>
    <w:tmpl w:val="E814013A"/>
    <w:lvl w:ilvl="0" w:tplc="747C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300DA"/>
    <w:multiLevelType w:val="hybridMultilevel"/>
    <w:tmpl w:val="8C88A8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20585"/>
    <w:multiLevelType w:val="hybridMultilevel"/>
    <w:tmpl w:val="2FBC8DF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074BE"/>
    <w:multiLevelType w:val="hybridMultilevel"/>
    <w:tmpl w:val="8C88DD2C"/>
    <w:lvl w:ilvl="0" w:tplc="37BA3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B6B11"/>
    <w:multiLevelType w:val="hybridMultilevel"/>
    <w:tmpl w:val="BBC4C9A0"/>
    <w:lvl w:ilvl="0" w:tplc="6518AA7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37F21"/>
    <w:multiLevelType w:val="hybridMultilevel"/>
    <w:tmpl w:val="87BA895E"/>
    <w:lvl w:ilvl="0" w:tplc="04090001">
      <w:start w:val="25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B79A5"/>
    <w:multiLevelType w:val="hybridMultilevel"/>
    <w:tmpl w:val="D180B46C"/>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6"/>
  </w:num>
  <w:num w:numId="6">
    <w:abstractNumId w:val="1"/>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92"/>
    <w:rsid w:val="0000468D"/>
    <w:rsid w:val="00023E59"/>
    <w:rsid w:val="00034E09"/>
    <w:rsid w:val="00046B52"/>
    <w:rsid w:val="00072611"/>
    <w:rsid w:val="000C0923"/>
    <w:rsid w:val="000D35E6"/>
    <w:rsid w:val="000F4375"/>
    <w:rsid w:val="00100069"/>
    <w:rsid w:val="0010013F"/>
    <w:rsid w:val="00112574"/>
    <w:rsid w:val="001149DC"/>
    <w:rsid w:val="00150720"/>
    <w:rsid w:val="001C6987"/>
    <w:rsid w:val="00231509"/>
    <w:rsid w:val="00247370"/>
    <w:rsid w:val="00262C22"/>
    <w:rsid w:val="00267B67"/>
    <w:rsid w:val="002C4BCD"/>
    <w:rsid w:val="00303A34"/>
    <w:rsid w:val="003204AE"/>
    <w:rsid w:val="00331AA3"/>
    <w:rsid w:val="00343264"/>
    <w:rsid w:val="00355DE5"/>
    <w:rsid w:val="003676F2"/>
    <w:rsid w:val="003767D0"/>
    <w:rsid w:val="00387084"/>
    <w:rsid w:val="00387BAC"/>
    <w:rsid w:val="003921FF"/>
    <w:rsid w:val="003975F9"/>
    <w:rsid w:val="004067E1"/>
    <w:rsid w:val="00441D7F"/>
    <w:rsid w:val="00444EBF"/>
    <w:rsid w:val="00450392"/>
    <w:rsid w:val="00467DD3"/>
    <w:rsid w:val="004D17E5"/>
    <w:rsid w:val="004E36FB"/>
    <w:rsid w:val="004F11A6"/>
    <w:rsid w:val="004F491C"/>
    <w:rsid w:val="005464F7"/>
    <w:rsid w:val="005470D1"/>
    <w:rsid w:val="00560115"/>
    <w:rsid w:val="00561578"/>
    <w:rsid w:val="005A4D1D"/>
    <w:rsid w:val="005B3154"/>
    <w:rsid w:val="005C33B0"/>
    <w:rsid w:val="00614702"/>
    <w:rsid w:val="00626B5C"/>
    <w:rsid w:val="006307BD"/>
    <w:rsid w:val="006539E4"/>
    <w:rsid w:val="00672617"/>
    <w:rsid w:val="00686DB6"/>
    <w:rsid w:val="006B3ED9"/>
    <w:rsid w:val="00700B4D"/>
    <w:rsid w:val="00717821"/>
    <w:rsid w:val="0072248A"/>
    <w:rsid w:val="00764213"/>
    <w:rsid w:val="007C0F6B"/>
    <w:rsid w:val="007C4F83"/>
    <w:rsid w:val="007D6648"/>
    <w:rsid w:val="007E7924"/>
    <w:rsid w:val="007F5C2C"/>
    <w:rsid w:val="00815431"/>
    <w:rsid w:val="00840449"/>
    <w:rsid w:val="00842174"/>
    <w:rsid w:val="00843030"/>
    <w:rsid w:val="00853AAB"/>
    <w:rsid w:val="00893A98"/>
    <w:rsid w:val="008D1BEB"/>
    <w:rsid w:val="008D6B8F"/>
    <w:rsid w:val="008F68BA"/>
    <w:rsid w:val="00901008"/>
    <w:rsid w:val="00946383"/>
    <w:rsid w:val="00980ED5"/>
    <w:rsid w:val="00981A87"/>
    <w:rsid w:val="009B21FA"/>
    <w:rsid w:val="009D4279"/>
    <w:rsid w:val="009D7122"/>
    <w:rsid w:val="00A10C67"/>
    <w:rsid w:val="00A34D1E"/>
    <w:rsid w:val="00A51250"/>
    <w:rsid w:val="00A6470D"/>
    <w:rsid w:val="00AB656C"/>
    <w:rsid w:val="00AD576F"/>
    <w:rsid w:val="00B2041E"/>
    <w:rsid w:val="00B315D6"/>
    <w:rsid w:val="00B7109C"/>
    <w:rsid w:val="00BF020E"/>
    <w:rsid w:val="00BF383C"/>
    <w:rsid w:val="00C04D0C"/>
    <w:rsid w:val="00C06DD6"/>
    <w:rsid w:val="00C07ECF"/>
    <w:rsid w:val="00C44490"/>
    <w:rsid w:val="00C61317"/>
    <w:rsid w:val="00C910FF"/>
    <w:rsid w:val="00CB3365"/>
    <w:rsid w:val="00CB7B21"/>
    <w:rsid w:val="00CE2EA7"/>
    <w:rsid w:val="00D20317"/>
    <w:rsid w:val="00D45651"/>
    <w:rsid w:val="00D47F5E"/>
    <w:rsid w:val="00D55BA7"/>
    <w:rsid w:val="00D714E8"/>
    <w:rsid w:val="00D77317"/>
    <w:rsid w:val="00DA5B71"/>
    <w:rsid w:val="00DB27CD"/>
    <w:rsid w:val="00DC3F68"/>
    <w:rsid w:val="00DD76F6"/>
    <w:rsid w:val="00DE0E21"/>
    <w:rsid w:val="00E306A9"/>
    <w:rsid w:val="00E33B36"/>
    <w:rsid w:val="00E61E7B"/>
    <w:rsid w:val="00E9205F"/>
    <w:rsid w:val="00E92F1B"/>
    <w:rsid w:val="00EA7232"/>
    <w:rsid w:val="00EB2B45"/>
    <w:rsid w:val="00EB490F"/>
    <w:rsid w:val="00EC2FCD"/>
    <w:rsid w:val="00ED4D76"/>
    <w:rsid w:val="00EE1F10"/>
    <w:rsid w:val="00EE4290"/>
    <w:rsid w:val="00EE4F85"/>
    <w:rsid w:val="00F304A0"/>
    <w:rsid w:val="00F42A70"/>
    <w:rsid w:val="00F46E9F"/>
    <w:rsid w:val="00F92115"/>
    <w:rsid w:val="00F92431"/>
    <w:rsid w:val="00FA462B"/>
    <w:rsid w:val="00FC145E"/>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C9AB"/>
  <w15:chartTrackingRefBased/>
  <w15:docId w15:val="{92AFDA76-8739-43BF-83AB-7F7D26BF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50392"/>
    <w:rPr>
      <w:color w:val="0000FF"/>
      <w:u w:val="single"/>
    </w:rPr>
  </w:style>
  <w:style w:type="paragraph" w:customStyle="1" w:styleId="DFARS">
    <w:name w:val="DFARS"/>
    <w:basedOn w:val="Normal"/>
    <w:link w:val="DFARSChar"/>
    <w:rsid w:val="00450392"/>
    <w:pPr>
      <w:tabs>
        <w:tab w:val="left" w:pos="360"/>
        <w:tab w:val="left" w:pos="810"/>
        <w:tab w:val="left" w:pos="1210"/>
        <w:tab w:val="left" w:pos="1656"/>
        <w:tab w:val="left" w:pos="2131"/>
        <w:tab w:val="left" w:pos="2520"/>
      </w:tabs>
      <w:overflowPunct w:val="0"/>
      <w:autoSpaceDE w:val="0"/>
      <w:autoSpaceDN w:val="0"/>
      <w:adjustRightInd w:val="0"/>
      <w:spacing w:after="0" w:line="240" w:lineRule="exact"/>
      <w:textAlignment w:val="baseline"/>
    </w:pPr>
    <w:rPr>
      <w:rFonts w:ascii="Century Schoolbook" w:eastAsia="Times New Roman" w:hAnsi="Century Schoolbook" w:cs="Times New Roman"/>
      <w:spacing w:val="-5"/>
      <w:kern w:val="20"/>
      <w:sz w:val="24"/>
      <w:szCs w:val="20"/>
    </w:rPr>
  </w:style>
  <w:style w:type="character" w:styleId="Strong">
    <w:name w:val="Strong"/>
    <w:basedOn w:val="DefaultParagraphFont"/>
    <w:qFormat/>
    <w:rsid w:val="00DC3F68"/>
    <w:rPr>
      <w:b/>
      <w:bCs/>
    </w:rPr>
  </w:style>
  <w:style w:type="paragraph" w:styleId="Header">
    <w:name w:val="header"/>
    <w:basedOn w:val="Normal"/>
    <w:link w:val="HeaderChar"/>
    <w:uiPriority w:val="99"/>
    <w:unhideWhenUsed/>
    <w:rsid w:val="0010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69"/>
  </w:style>
  <w:style w:type="paragraph" w:styleId="Footer">
    <w:name w:val="footer"/>
    <w:basedOn w:val="Normal"/>
    <w:link w:val="FooterChar"/>
    <w:uiPriority w:val="99"/>
    <w:unhideWhenUsed/>
    <w:rsid w:val="0010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69"/>
  </w:style>
  <w:style w:type="paragraph" w:styleId="ListParagraph">
    <w:name w:val="List Paragraph"/>
    <w:basedOn w:val="Normal"/>
    <w:uiPriority w:val="34"/>
    <w:qFormat/>
    <w:rsid w:val="004E36FB"/>
    <w:pPr>
      <w:ind w:left="720"/>
      <w:contextualSpacing/>
    </w:pPr>
  </w:style>
  <w:style w:type="character" w:customStyle="1" w:styleId="DFARSChar">
    <w:name w:val="DFARS Char"/>
    <w:link w:val="DFARS"/>
    <w:rsid w:val="00D47F5E"/>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CE2EA7"/>
  </w:style>
  <w:style w:type="paragraph" w:styleId="BalloonText">
    <w:name w:val="Balloon Text"/>
    <w:basedOn w:val="Normal"/>
    <w:link w:val="BalloonTextChar"/>
    <w:uiPriority w:val="99"/>
    <w:semiHidden/>
    <w:unhideWhenUsed/>
    <w:rsid w:val="00355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DE5"/>
    <w:rPr>
      <w:rFonts w:ascii="Segoe UI" w:hAnsi="Segoe UI" w:cs="Segoe UI"/>
      <w:sz w:val="18"/>
      <w:szCs w:val="18"/>
    </w:rPr>
  </w:style>
  <w:style w:type="character" w:styleId="FollowedHyperlink">
    <w:name w:val="FollowedHyperlink"/>
    <w:basedOn w:val="DefaultParagraphFont"/>
    <w:uiPriority w:val="99"/>
    <w:semiHidden/>
    <w:unhideWhenUsed/>
    <w:rsid w:val="007F5C2C"/>
    <w:rPr>
      <w:color w:val="954F72" w:themeColor="followedHyperlink"/>
      <w:u w:val="single"/>
    </w:rPr>
  </w:style>
  <w:style w:type="character" w:styleId="CommentReference">
    <w:name w:val="annotation reference"/>
    <w:basedOn w:val="DefaultParagraphFont"/>
    <w:uiPriority w:val="99"/>
    <w:semiHidden/>
    <w:unhideWhenUsed/>
    <w:rsid w:val="007F5C2C"/>
    <w:rPr>
      <w:sz w:val="16"/>
      <w:szCs w:val="16"/>
    </w:rPr>
  </w:style>
  <w:style w:type="paragraph" w:styleId="CommentText">
    <w:name w:val="annotation text"/>
    <w:basedOn w:val="Normal"/>
    <w:link w:val="CommentTextChar"/>
    <w:uiPriority w:val="99"/>
    <w:semiHidden/>
    <w:unhideWhenUsed/>
    <w:rsid w:val="007F5C2C"/>
    <w:pPr>
      <w:spacing w:line="240" w:lineRule="auto"/>
    </w:pPr>
    <w:rPr>
      <w:sz w:val="20"/>
      <w:szCs w:val="20"/>
    </w:rPr>
  </w:style>
  <w:style w:type="character" w:customStyle="1" w:styleId="CommentTextChar">
    <w:name w:val="Comment Text Char"/>
    <w:basedOn w:val="DefaultParagraphFont"/>
    <w:link w:val="CommentText"/>
    <w:uiPriority w:val="99"/>
    <w:semiHidden/>
    <w:rsid w:val="007F5C2C"/>
    <w:rPr>
      <w:sz w:val="20"/>
      <w:szCs w:val="20"/>
    </w:rPr>
  </w:style>
  <w:style w:type="paragraph" w:styleId="CommentSubject">
    <w:name w:val="annotation subject"/>
    <w:basedOn w:val="CommentText"/>
    <w:next w:val="CommentText"/>
    <w:link w:val="CommentSubjectChar"/>
    <w:uiPriority w:val="99"/>
    <w:semiHidden/>
    <w:unhideWhenUsed/>
    <w:rsid w:val="007F5C2C"/>
    <w:rPr>
      <w:b/>
      <w:bCs/>
    </w:rPr>
  </w:style>
  <w:style w:type="character" w:customStyle="1" w:styleId="CommentSubjectChar">
    <w:name w:val="Comment Subject Char"/>
    <w:basedOn w:val="CommentTextChar"/>
    <w:link w:val="CommentSubject"/>
    <w:uiPriority w:val="99"/>
    <w:semiHidden/>
    <w:rsid w:val="007F5C2C"/>
    <w:rPr>
      <w:b/>
      <w:bCs/>
      <w:sz w:val="20"/>
      <w:szCs w:val="20"/>
    </w:rPr>
  </w:style>
  <w:style w:type="paragraph" w:styleId="Revision">
    <w:name w:val="Revision"/>
    <w:hidden/>
    <w:uiPriority w:val="99"/>
    <w:semiHidden/>
    <w:rsid w:val="002C4B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8952">
      <w:bodyDiv w:val="1"/>
      <w:marLeft w:val="0"/>
      <w:marRight w:val="0"/>
      <w:marTop w:val="0"/>
      <w:marBottom w:val="0"/>
      <w:divBdr>
        <w:top w:val="none" w:sz="0" w:space="0" w:color="auto"/>
        <w:left w:val="none" w:sz="0" w:space="0" w:color="auto"/>
        <w:bottom w:val="none" w:sz="0" w:space="0" w:color="auto"/>
        <w:right w:val="none" w:sz="0" w:space="0" w:color="auto"/>
      </w:divBdr>
    </w:div>
    <w:div w:id="115638268">
      <w:bodyDiv w:val="1"/>
      <w:marLeft w:val="0"/>
      <w:marRight w:val="0"/>
      <w:marTop w:val="0"/>
      <w:marBottom w:val="0"/>
      <w:divBdr>
        <w:top w:val="none" w:sz="0" w:space="0" w:color="auto"/>
        <w:left w:val="none" w:sz="0" w:space="0" w:color="auto"/>
        <w:bottom w:val="none" w:sz="0" w:space="0" w:color="auto"/>
        <w:right w:val="none" w:sz="0" w:space="0" w:color="auto"/>
      </w:divBdr>
    </w:div>
    <w:div w:id="166602327">
      <w:bodyDiv w:val="1"/>
      <w:marLeft w:val="0"/>
      <w:marRight w:val="0"/>
      <w:marTop w:val="0"/>
      <w:marBottom w:val="0"/>
      <w:divBdr>
        <w:top w:val="none" w:sz="0" w:space="0" w:color="auto"/>
        <w:left w:val="none" w:sz="0" w:space="0" w:color="auto"/>
        <w:bottom w:val="none" w:sz="0" w:space="0" w:color="auto"/>
        <w:right w:val="none" w:sz="0" w:space="0" w:color="auto"/>
      </w:divBdr>
    </w:div>
    <w:div w:id="474954618">
      <w:bodyDiv w:val="1"/>
      <w:marLeft w:val="0"/>
      <w:marRight w:val="0"/>
      <w:marTop w:val="0"/>
      <w:marBottom w:val="0"/>
      <w:divBdr>
        <w:top w:val="none" w:sz="0" w:space="0" w:color="auto"/>
        <w:left w:val="none" w:sz="0" w:space="0" w:color="auto"/>
        <w:bottom w:val="none" w:sz="0" w:space="0" w:color="auto"/>
        <w:right w:val="none" w:sz="0" w:space="0" w:color="auto"/>
      </w:divBdr>
    </w:div>
    <w:div w:id="774062786">
      <w:bodyDiv w:val="1"/>
      <w:marLeft w:val="0"/>
      <w:marRight w:val="0"/>
      <w:marTop w:val="0"/>
      <w:marBottom w:val="0"/>
      <w:divBdr>
        <w:top w:val="none" w:sz="0" w:space="0" w:color="auto"/>
        <w:left w:val="none" w:sz="0" w:space="0" w:color="auto"/>
        <w:bottom w:val="none" w:sz="0" w:space="0" w:color="auto"/>
        <w:right w:val="none" w:sz="0" w:space="0" w:color="auto"/>
      </w:divBdr>
    </w:div>
    <w:div w:id="1001931556">
      <w:bodyDiv w:val="1"/>
      <w:marLeft w:val="0"/>
      <w:marRight w:val="0"/>
      <w:marTop w:val="0"/>
      <w:marBottom w:val="0"/>
      <w:divBdr>
        <w:top w:val="none" w:sz="0" w:space="0" w:color="auto"/>
        <w:left w:val="none" w:sz="0" w:space="0" w:color="auto"/>
        <w:bottom w:val="none" w:sz="0" w:space="0" w:color="auto"/>
        <w:right w:val="none" w:sz="0" w:space="0" w:color="auto"/>
      </w:divBdr>
    </w:div>
    <w:div w:id="1214737111">
      <w:bodyDiv w:val="1"/>
      <w:marLeft w:val="0"/>
      <w:marRight w:val="0"/>
      <w:marTop w:val="0"/>
      <w:marBottom w:val="0"/>
      <w:divBdr>
        <w:top w:val="none" w:sz="0" w:space="0" w:color="auto"/>
        <w:left w:val="none" w:sz="0" w:space="0" w:color="auto"/>
        <w:bottom w:val="none" w:sz="0" w:space="0" w:color="auto"/>
        <w:right w:val="none" w:sz="0" w:space="0" w:color="auto"/>
      </w:divBdr>
    </w:div>
    <w:div w:id="1359968451">
      <w:bodyDiv w:val="1"/>
      <w:marLeft w:val="0"/>
      <w:marRight w:val="0"/>
      <w:marTop w:val="30"/>
      <w:marBottom w:val="750"/>
      <w:divBdr>
        <w:top w:val="none" w:sz="0" w:space="0" w:color="auto"/>
        <w:left w:val="none" w:sz="0" w:space="0" w:color="auto"/>
        <w:bottom w:val="none" w:sz="0" w:space="0" w:color="auto"/>
        <w:right w:val="none" w:sz="0" w:space="0" w:color="auto"/>
      </w:divBdr>
      <w:divsChild>
        <w:div w:id="1383871462">
          <w:marLeft w:val="0"/>
          <w:marRight w:val="0"/>
          <w:marTop w:val="0"/>
          <w:marBottom w:val="0"/>
          <w:divBdr>
            <w:top w:val="none" w:sz="0" w:space="0" w:color="auto"/>
            <w:left w:val="none" w:sz="0" w:space="0" w:color="auto"/>
            <w:bottom w:val="none" w:sz="0" w:space="0" w:color="auto"/>
            <w:right w:val="none" w:sz="0" w:space="0" w:color="auto"/>
          </w:divBdr>
          <w:divsChild>
            <w:div w:id="349110611">
              <w:marLeft w:val="0"/>
              <w:marRight w:val="0"/>
              <w:marTop w:val="0"/>
              <w:marBottom w:val="0"/>
              <w:divBdr>
                <w:top w:val="none" w:sz="0" w:space="0" w:color="auto"/>
                <w:left w:val="none" w:sz="0" w:space="0" w:color="auto"/>
                <w:bottom w:val="none" w:sz="0" w:space="0" w:color="auto"/>
                <w:right w:val="none" w:sz="0" w:space="0" w:color="auto"/>
              </w:divBdr>
              <w:divsChild>
                <w:div w:id="201984980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430588949">
      <w:bodyDiv w:val="1"/>
      <w:marLeft w:val="0"/>
      <w:marRight w:val="0"/>
      <w:marTop w:val="0"/>
      <w:marBottom w:val="0"/>
      <w:divBdr>
        <w:top w:val="none" w:sz="0" w:space="0" w:color="auto"/>
        <w:left w:val="none" w:sz="0" w:space="0" w:color="auto"/>
        <w:bottom w:val="none" w:sz="0" w:space="0" w:color="auto"/>
        <w:right w:val="none" w:sz="0" w:space="0" w:color="auto"/>
      </w:divBdr>
    </w:div>
    <w:div w:id="1443065188">
      <w:bodyDiv w:val="1"/>
      <w:marLeft w:val="0"/>
      <w:marRight w:val="0"/>
      <w:marTop w:val="0"/>
      <w:marBottom w:val="0"/>
      <w:divBdr>
        <w:top w:val="none" w:sz="0" w:space="0" w:color="auto"/>
        <w:left w:val="none" w:sz="0" w:space="0" w:color="auto"/>
        <w:bottom w:val="none" w:sz="0" w:space="0" w:color="auto"/>
        <w:right w:val="none" w:sz="0" w:space="0" w:color="auto"/>
      </w:divBdr>
    </w:div>
    <w:div w:id="1701777201">
      <w:bodyDiv w:val="1"/>
      <w:marLeft w:val="0"/>
      <w:marRight w:val="0"/>
      <w:marTop w:val="0"/>
      <w:marBottom w:val="0"/>
      <w:divBdr>
        <w:top w:val="none" w:sz="0" w:space="0" w:color="auto"/>
        <w:left w:val="none" w:sz="0" w:space="0" w:color="auto"/>
        <w:bottom w:val="none" w:sz="0" w:space="0" w:color="auto"/>
        <w:right w:val="none" w:sz="0" w:space="0" w:color="auto"/>
      </w:divBdr>
    </w:div>
    <w:div w:id="2000885700">
      <w:bodyDiv w:val="1"/>
      <w:marLeft w:val="0"/>
      <w:marRight w:val="0"/>
      <w:marTop w:val="0"/>
      <w:marBottom w:val="0"/>
      <w:divBdr>
        <w:top w:val="none" w:sz="0" w:space="0" w:color="auto"/>
        <w:left w:val="none" w:sz="0" w:space="0" w:color="auto"/>
        <w:bottom w:val="none" w:sz="0" w:space="0" w:color="auto"/>
        <w:right w:val="none" w:sz="0" w:space="0" w:color="auto"/>
      </w:divBdr>
    </w:div>
    <w:div w:id="205141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16_3.htm" TargetMode="External"/><Relationship Id="rId13" Type="http://schemas.openxmlformats.org/officeDocument/2006/relationships/hyperlink" Target="https://www.acq.osd.mil/dpap/dars/dfars/html/current/235_0.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q.osd.mil/dpap/dars/pgi/pgi_htm/current/PGI216_1.htm" TargetMode="External"/><Relationship Id="rId17" Type="http://schemas.openxmlformats.org/officeDocument/2006/relationships/hyperlink" Target="https://www.acq.osd.mil/dpap/dars/dfars/html/current/234_0.htm" TargetMode="External"/><Relationship Id="rId2" Type="http://schemas.openxmlformats.org/officeDocument/2006/relationships/numbering" Target="numbering.xml"/><Relationship Id="rId16" Type="http://schemas.openxmlformats.org/officeDocument/2006/relationships/hyperlink" Target="https://www.acq.osd.mil/dpap/dars/pgi/pgi_htm/PGI216_4.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policy/policyvault/USA001270-16-DPAP.pdf" TargetMode="External"/><Relationship Id="rId5" Type="http://schemas.openxmlformats.org/officeDocument/2006/relationships/webSettings" Target="webSettings.xml"/><Relationship Id="rId15" Type="http://schemas.openxmlformats.org/officeDocument/2006/relationships/hyperlink" Target="https://www.acq.osd.mil/dpap/dars/dfars/html/current/216_3.htm" TargetMode="External"/><Relationship Id="rId23" Type="http://schemas.microsoft.com/office/2016/09/relationships/commentsIds" Target="commentsIds.xml"/><Relationship Id="rId10" Type="http://schemas.openxmlformats.org/officeDocument/2006/relationships/hyperlink" Target="https://www.acq.osd.mil/dpap/dars/dfars/html/current/225_73.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q.osd.mil/dpap/dars/dfars/html/current/234_0.htm" TargetMode="External"/><Relationship Id="rId14" Type="http://schemas.openxmlformats.org/officeDocument/2006/relationships/hyperlink" Target="https://www.acq.osd.mil/dpap/dars/pgi/pgi_htm/PGI216_4.htm"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FAC2-DBAB-41CC-A869-EBBC258C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ziegler;kimberly.r.ziegler.civ@mail.mil</dc:creator>
  <cp:keywords/>
  <dc:description/>
  <cp:lastModifiedBy>Johnson, Jennifer D CIV OSD OUSD A-S (USA)</cp:lastModifiedBy>
  <cp:revision>4</cp:revision>
  <cp:lastPrinted>2019-10-07T14:18:00Z</cp:lastPrinted>
  <dcterms:created xsi:type="dcterms:W3CDTF">2022-10-05T12:59:00Z</dcterms:created>
  <dcterms:modified xsi:type="dcterms:W3CDTF">2022-10-07T19:23:00Z</dcterms:modified>
</cp:coreProperties>
</file>