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C094" w14:textId="77777777" w:rsidR="00B91CD1" w:rsidRPr="00F5715B" w:rsidRDefault="00B91CD1" w:rsidP="00564A12">
      <w:pPr>
        <w:jc w:val="center"/>
        <w:outlineLvl w:val="3"/>
        <w:rPr>
          <w:rFonts w:ascii="Arial" w:hAnsi="Arial" w:cs="Arial"/>
          <w:b w:val="0"/>
          <w:bCs/>
          <w:szCs w:val="24"/>
        </w:rPr>
      </w:pPr>
      <w:r w:rsidRPr="00F5715B">
        <w:rPr>
          <w:rFonts w:ascii="Arial" w:hAnsi="Arial" w:cs="Arial"/>
          <w:bCs/>
          <w:szCs w:val="24"/>
        </w:rPr>
        <w:t>DFARS Case 2022-P006</w:t>
      </w:r>
    </w:p>
    <w:p w14:paraId="58C5CD99" w14:textId="652A35D6" w:rsidR="00B91CD1" w:rsidRPr="00F5715B" w:rsidRDefault="00B91CD1" w:rsidP="00564A12">
      <w:pPr>
        <w:jc w:val="center"/>
        <w:outlineLvl w:val="3"/>
        <w:rPr>
          <w:rFonts w:ascii="Arial" w:hAnsi="Arial" w:cs="Arial"/>
          <w:b w:val="0"/>
          <w:szCs w:val="24"/>
          <w:shd w:val="clear" w:color="auto" w:fill="FFFFFF"/>
        </w:rPr>
      </w:pPr>
      <w:r w:rsidRPr="00F5715B">
        <w:rPr>
          <w:rFonts w:ascii="Arial" w:hAnsi="Arial" w:cs="Arial"/>
          <w:szCs w:val="24"/>
          <w:shd w:val="clear" w:color="auto" w:fill="FFFFFF"/>
        </w:rPr>
        <w:t>Humanitarian and Peacekeeping Micro-</w:t>
      </w:r>
      <w:r w:rsidR="0025693F">
        <w:rPr>
          <w:rFonts w:ascii="Arial" w:hAnsi="Arial" w:cs="Arial"/>
          <w:szCs w:val="24"/>
          <w:shd w:val="clear" w:color="auto" w:fill="FFFFFF"/>
        </w:rPr>
        <w:t xml:space="preserve">Purchase </w:t>
      </w:r>
      <w:r w:rsidRPr="00F5715B">
        <w:rPr>
          <w:rFonts w:ascii="Arial" w:hAnsi="Arial" w:cs="Arial"/>
          <w:szCs w:val="24"/>
          <w:shd w:val="clear" w:color="auto" w:fill="FFFFFF"/>
        </w:rPr>
        <w:t>Threshold Guidance</w:t>
      </w:r>
    </w:p>
    <w:p w14:paraId="376D4CA3" w14:textId="7961E99C" w:rsidR="00B91CD1" w:rsidRPr="00F5715B" w:rsidRDefault="00B91CD1" w:rsidP="00564A12">
      <w:pPr>
        <w:jc w:val="center"/>
        <w:outlineLvl w:val="3"/>
        <w:rPr>
          <w:rFonts w:ascii="Arial" w:hAnsi="Arial" w:cs="Arial"/>
          <w:b w:val="0"/>
          <w:bCs/>
          <w:szCs w:val="24"/>
        </w:rPr>
      </w:pPr>
      <w:r w:rsidRPr="00F5715B">
        <w:rPr>
          <w:rFonts w:ascii="Arial" w:hAnsi="Arial" w:cs="Arial"/>
          <w:bCs/>
          <w:szCs w:val="24"/>
        </w:rPr>
        <w:t>PGI Text</w:t>
      </w:r>
    </w:p>
    <w:p w14:paraId="7721CBD3" w14:textId="01BC4151" w:rsidR="00B91CD1" w:rsidRDefault="00B91CD1" w:rsidP="00564A12">
      <w:pPr>
        <w:outlineLvl w:val="3"/>
        <w:rPr>
          <w:rFonts w:ascii="Arial" w:hAnsi="Arial" w:cs="Arial"/>
          <w:bCs/>
          <w:szCs w:val="24"/>
        </w:rPr>
      </w:pPr>
    </w:p>
    <w:p w14:paraId="2E2282BD" w14:textId="77777777" w:rsidR="000F36F1" w:rsidRPr="00F5715B" w:rsidRDefault="000F36F1" w:rsidP="00564A12">
      <w:pPr>
        <w:outlineLvl w:val="3"/>
        <w:rPr>
          <w:rFonts w:ascii="Arial" w:hAnsi="Arial" w:cs="Arial"/>
          <w:bCs/>
          <w:szCs w:val="24"/>
        </w:rPr>
      </w:pPr>
    </w:p>
    <w:p w14:paraId="375482BD" w14:textId="77777777" w:rsidR="00B91CD1" w:rsidRPr="00F5715B" w:rsidRDefault="00B91CD1" w:rsidP="00564A12">
      <w:pPr>
        <w:tabs>
          <w:tab w:val="left" w:pos="360"/>
          <w:tab w:val="left" w:pos="806"/>
          <w:tab w:val="left" w:pos="1210"/>
          <w:tab w:val="left" w:pos="1656"/>
          <w:tab w:val="left" w:pos="2131"/>
          <w:tab w:val="left" w:pos="2520"/>
        </w:tabs>
        <w:outlineLvl w:val="3"/>
        <w:rPr>
          <w:rFonts w:ascii="Arial" w:hAnsi="Arial" w:cs="Arial"/>
          <w:b w:val="0"/>
          <w:szCs w:val="24"/>
        </w:rPr>
      </w:pPr>
      <w:r w:rsidRPr="00F5715B">
        <w:rPr>
          <w:rFonts w:ascii="Arial" w:hAnsi="Arial" w:cs="Arial"/>
          <w:szCs w:val="24"/>
        </w:rPr>
        <w:t>PGI 213—</w:t>
      </w:r>
      <w:r w:rsidR="00F5715B" w:rsidRPr="00F5715B">
        <w:rPr>
          <w:rFonts w:ascii="Arial" w:hAnsi="Arial" w:cs="Arial"/>
          <w:szCs w:val="24"/>
        </w:rPr>
        <w:t xml:space="preserve">SIMPLIFIED </w:t>
      </w:r>
      <w:r w:rsidRPr="00F5715B">
        <w:rPr>
          <w:rFonts w:ascii="Arial" w:hAnsi="Arial" w:cs="Arial"/>
          <w:szCs w:val="24"/>
        </w:rPr>
        <w:t>ACQUISITION P</w:t>
      </w:r>
      <w:r w:rsidR="00F5715B" w:rsidRPr="00F5715B">
        <w:rPr>
          <w:rFonts w:ascii="Arial" w:hAnsi="Arial" w:cs="Arial"/>
          <w:szCs w:val="24"/>
        </w:rPr>
        <w:t>ROCEDURES</w:t>
      </w:r>
    </w:p>
    <w:p w14:paraId="40286C0B" w14:textId="77777777" w:rsidR="00B91CD1" w:rsidRPr="00F5715B" w:rsidRDefault="00B91CD1" w:rsidP="00564A12">
      <w:pPr>
        <w:tabs>
          <w:tab w:val="left" w:pos="360"/>
          <w:tab w:val="left" w:pos="806"/>
          <w:tab w:val="left" w:pos="1210"/>
          <w:tab w:val="left" w:pos="1656"/>
          <w:tab w:val="left" w:pos="2131"/>
          <w:tab w:val="left" w:pos="2520"/>
        </w:tabs>
        <w:outlineLvl w:val="3"/>
        <w:rPr>
          <w:rFonts w:ascii="Arial" w:hAnsi="Arial" w:cs="Arial"/>
          <w:szCs w:val="24"/>
        </w:rPr>
      </w:pPr>
    </w:p>
    <w:p w14:paraId="169A6B1C" w14:textId="4FA0B7C5" w:rsidR="00B91CD1" w:rsidRPr="00F5715B" w:rsidRDefault="00F5715B" w:rsidP="00564A12">
      <w:pPr>
        <w:tabs>
          <w:tab w:val="left" w:pos="360"/>
          <w:tab w:val="left" w:pos="806"/>
          <w:tab w:val="left" w:pos="1210"/>
          <w:tab w:val="left" w:pos="1656"/>
          <w:tab w:val="left" w:pos="2131"/>
          <w:tab w:val="left" w:pos="2520"/>
        </w:tabs>
        <w:outlineLvl w:val="3"/>
        <w:rPr>
          <w:rFonts w:ascii="Arial" w:hAnsi="Arial" w:cs="Arial"/>
          <w:b w:val="0"/>
          <w:szCs w:val="24"/>
        </w:rPr>
      </w:pPr>
      <w:r w:rsidRPr="00F5715B">
        <w:rPr>
          <w:rFonts w:ascii="Arial" w:hAnsi="Arial" w:cs="Arial"/>
          <w:b w:val="0"/>
          <w:szCs w:val="24"/>
        </w:rPr>
        <w:t>* * * * *</w:t>
      </w:r>
    </w:p>
    <w:p w14:paraId="3D0BBE81" w14:textId="77777777" w:rsidR="00093288" w:rsidRPr="00F5715B" w:rsidRDefault="00093288" w:rsidP="00564A12">
      <w:pPr>
        <w:pStyle w:val="DFARS"/>
        <w:rPr>
          <w:rFonts w:ascii="Arial" w:hAnsi="Arial" w:cs="Arial"/>
          <w:szCs w:val="24"/>
        </w:rPr>
      </w:pPr>
    </w:p>
    <w:p w14:paraId="06983096"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1"/>
        <w:rPr>
          <w:rFonts w:ascii="Arial" w:hAnsi="Arial" w:cs="Arial"/>
          <w:bCs/>
          <w:szCs w:val="24"/>
          <w:lang w:val="en"/>
        </w:rPr>
      </w:pPr>
      <w:r w:rsidRPr="00F5715B">
        <w:rPr>
          <w:rFonts w:ascii="Arial" w:hAnsi="Arial" w:cs="Arial"/>
          <w:bCs/>
          <w:szCs w:val="24"/>
          <w:lang w:val="en"/>
        </w:rPr>
        <w:t>PGI 213.2—ACTIONS AT OR BELOW THE MICRO-PURCHASE THRESHOLD</w:t>
      </w:r>
    </w:p>
    <w:p w14:paraId="178C962E"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2"/>
        <w:rPr>
          <w:rFonts w:ascii="Arial" w:hAnsi="Arial" w:cs="Arial"/>
          <w:bCs/>
          <w:szCs w:val="24"/>
          <w:lang w:val="en"/>
        </w:rPr>
      </w:pPr>
      <w:bookmarkStart w:id="0" w:name="P186_27091"/>
      <w:bookmarkEnd w:id="0"/>
    </w:p>
    <w:p w14:paraId="076A1238"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2"/>
        <w:rPr>
          <w:rFonts w:ascii="Arial" w:hAnsi="Arial" w:cs="Arial"/>
          <w:bCs/>
          <w:szCs w:val="24"/>
          <w:lang w:val="en"/>
        </w:rPr>
      </w:pPr>
      <w:r w:rsidRPr="00F5715B">
        <w:rPr>
          <w:rFonts w:ascii="Arial" w:hAnsi="Arial" w:cs="Arial"/>
          <w:bCs/>
          <w:szCs w:val="24"/>
          <w:lang w:val="en"/>
        </w:rPr>
        <w:t>PGI 213.201  General.</w:t>
      </w:r>
    </w:p>
    <w:p w14:paraId="0B49A7F8"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2"/>
        <w:rPr>
          <w:rFonts w:ascii="Arial" w:hAnsi="Arial" w:cs="Arial"/>
          <w:b w:val="0"/>
          <w:bCs/>
          <w:szCs w:val="24"/>
          <w:lang w:val="en"/>
        </w:rPr>
      </w:pPr>
    </w:p>
    <w:p w14:paraId="23BD7C5C" w14:textId="101C965E" w:rsidR="00851B71" w:rsidRPr="00F63CD7"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1"/>
        <w:rPr>
          <w:rFonts w:ascii="Arial" w:hAnsi="Arial" w:cs="Arial"/>
          <w:b w:val="0"/>
          <w:strike/>
          <w:szCs w:val="24"/>
          <w:lang w:val="en"/>
        </w:rPr>
      </w:pPr>
      <w:r w:rsidRPr="00F5715B">
        <w:rPr>
          <w:rFonts w:ascii="Arial" w:hAnsi="Arial" w:cs="Arial"/>
          <w:b w:val="0"/>
          <w:szCs w:val="24"/>
          <w:lang w:val="en"/>
        </w:rPr>
        <w:tab/>
        <w:t xml:space="preserve">(g)(i)  </w:t>
      </w:r>
      <w:r w:rsidRPr="00F5715B">
        <w:rPr>
          <w:rFonts w:ascii="Arial" w:hAnsi="Arial" w:cs="Arial"/>
          <w:b w:val="0"/>
          <w:bCs/>
          <w:szCs w:val="24"/>
          <w:lang w:val="en"/>
        </w:rPr>
        <w:t xml:space="preserve">The higher micro-purchase thresholds in FAR 13.201(g) are authorized for purchases that have a clear and direct relationship to the support of a </w:t>
      </w:r>
      <w:r w:rsidRPr="00AE78AB">
        <w:rPr>
          <w:rFonts w:ascii="Arial" w:hAnsi="Arial" w:cs="Arial"/>
          <w:b w:val="0"/>
          <w:bCs/>
          <w:strike/>
          <w:szCs w:val="24"/>
          <w:lang w:val="en"/>
        </w:rPr>
        <w:t xml:space="preserve">declared </w:t>
      </w:r>
      <w:bookmarkStart w:id="1" w:name="OLE_LINK3"/>
      <w:bookmarkStart w:id="2" w:name="OLE_LINK4"/>
      <w:r w:rsidRPr="00F5715B">
        <w:rPr>
          <w:rFonts w:ascii="Arial" w:hAnsi="Arial" w:cs="Arial"/>
          <w:b w:val="0"/>
          <w:bCs/>
          <w:szCs w:val="24"/>
          <w:lang w:val="en"/>
        </w:rPr>
        <w:t>contingency operation</w:t>
      </w:r>
      <w:bookmarkEnd w:id="1"/>
      <w:bookmarkEnd w:id="2"/>
      <w:r w:rsidR="00E25D8B" w:rsidRPr="00F5715B">
        <w:rPr>
          <w:rFonts w:ascii="Arial" w:hAnsi="Arial" w:cs="Arial"/>
          <w:b w:val="0"/>
          <w:bCs/>
          <w:szCs w:val="24"/>
          <w:lang w:val="en"/>
        </w:rPr>
        <w:t>;</w:t>
      </w:r>
      <w:r w:rsidRPr="00F5715B">
        <w:rPr>
          <w:rFonts w:ascii="Arial" w:hAnsi="Arial" w:cs="Arial"/>
          <w:b w:val="0"/>
          <w:bCs/>
          <w:szCs w:val="24"/>
          <w:lang w:val="en"/>
        </w:rPr>
        <w:t xml:space="preserve"> to facilitate defense against or recovery from </w:t>
      </w:r>
      <w:r w:rsidR="00E25D8B" w:rsidRPr="00F5715B">
        <w:rPr>
          <w:rFonts w:ascii="Arial" w:hAnsi="Arial" w:cs="Arial"/>
          <w:b w:val="0"/>
          <w:bCs/>
          <w:szCs w:val="24"/>
          <w:lang w:val="en"/>
        </w:rPr>
        <w:t xml:space="preserve">cyber, </w:t>
      </w:r>
      <w:r w:rsidRPr="00F5715B">
        <w:rPr>
          <w:rFonts w:ascii="Arial" w:hAnsi="Arial" w:cs="Arial"/>
          <w:b w:val="0"/>
          <w:bCs/>
          <w:szCs w:val="24"/>
          <w:lang w:val="en"/>
        </w:rPr>
        <w:t>nuclear, biological, chemical, or radiological attack</w:t>
      </w:r>
      <w:r w:rsidR="00E25D8B" w:rsidRPr="00F5715B">
        <w:rPr>
          <w:rFonts w:ascii="Arial" w:hAnsi="Arial" w:cs="Arial"/>
          <w:b w:val="0"/>
          <w:bCs/>
          <w:szCs w:val="24"/>
          <w:lang w:val="en"/>
        </w:rPr>
        <w:t>;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r w:rsidRPr="00F5715B">
        <w:rPr>
          <w:rFonts w:ascii="Arial" w:hAnsi="Arial" w:cs="Arial"/>
          <w:b w:val="0"/>
          <w:bCs/>
          <w:color w:val="000000"/>
          <w:szCs w:val="24"/>
        </w:rPr>
        <w:t xml:space="preserve">.  </w:t>
      </w:r>
      <w:r w:rsidRPr="00F63CD7">
        <w:rPr>
          <w:rFonts w:ascii="Arial" w:hAnsi="Arial" w:cs="Arial"/>
          <w:b w:val="0"/>
          <w:strike/>
          <w:szCs w:val="24"/>
          <w:lang w:val="en"/>
        </w:rPr>
        <w:t>To determine if a declaration has been made that authorizes the use of the higher micro-purchase thresholds review the following websites:</w:t>
      </w:r>
    </w:p>
    <w:p w14:paraId="37588FCB" w14:textId="77777777" w:rsidR="00851B71" w:rsidRPr="00F63CD7"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1"/>
        <w:rPr>
          <w:rFonts w:ascii="Arial" w:hAnsi="Arial" w:cs="Arial"/>
          <w:b w:val="0"/>
          <w:strike/>
          <w:szCs w:val="24"/>
          <w:lang w:val="en"/>
        </w:rPr>
      </w:pPr>
    </w:p>
    <w:p w14:paraId="6A51E566" w14:textId="44199FC8" w:rsidR="00851B71" w:rsidRPr="00F63CD7"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1"/>
        <w:rPr>
          <w:rFonts w:ascii="Arial" w:hAnsi="Arial" w:cs="Arial"/>
          <w:b w:val="0"/>
          <w:strike/>
          <w:szCs w:val="24"/>
          <w:u w:val="single"/>
          <w:lang w:val="en"/>
        </w:rPr>
      </w:pPr>
      <w:r w:rsidRPr="00F63CD7">
        <w:rPr>
          <w:rFonts w:ascii="Arial" w:hAnsi="Arial" w:cs="Arial"/>
          <w:b w:val="0"/>
          <w:strike/>
          <w:szCs w:val="24"/>
          <w:lang w:val="en"/>
        </w:rPr>
        <w:tab/>
      </w:r>
      <w:r w:rsidRPr="00F63CD7">
        <w:rPr>
          <w:rFonts w:ascii="Arial" w:hAnsi="Arial" w:cs="Arial"/>
          <w:b w:val="0"/>
          <w:strike/>
          <w:szCs w:val="24"/>
          <w:lang w:val="en"/>
        </w:rPr>
        <w:tab/>
      </w:r>
      <w:r w:rsidRPr="00F63CD7">
        <w:rPr>
          <w:rFonts w:ascii="Arial" w:hAnsi="Arial" w:cs="Arial"/>
          <w:b w:val="0"/>
          <w:strike/>
          <w:szCs w:val="24"/>
          <w:lang w:val="en"/>
        </w:rPr>
        <w:tab/>
        <w:t xml:space="preserve">(A)  Declared domestic contingency operations are listed at </w:t>
      </w:r>
      <w:hyperlink r:id="rId8" w:history="1">
        <w:r w:rsidR="00092CF9" w:rsidRPr="00F63CD7">
          <w:rPr>
            <w:rStyle w:val="Hyperlink"/>
            <w:rFonts w:ascii="Arial" w:eastAsia="Calibri" w:hAnsi="Arial" w:cs="Arial"/>
            <w:b w:val="0"/>
            <w:bCs/>
            <w:i/>
            <w:iCs/>
            <w:strike/>
            <w:szCs w:val="24"/>
            <w:lang w:val="en"/>
          </w:rPr>
          <w:t>https://www.acq.osd.mil/asda/dpc/cp/cc/domestic-operations.html</w:t>
        </w:r>
      </w:hyperlink>
      <w:r w:rsidRPr="00F63CD7">
        <w:rPr>
          <w:rFonts w:ascii="Arial" w:hAnsi="Arial" w:cs="Arial"/>
          <w:b w:val="0"/>
          <w:strike/>
          <w:szCs w:val="24"/>
          <w:lang w:val="en"/>
        </w:rPr>
        <w:t>.</w:t>
      </w:r>
    </w:p>
    <w:p w14:paraId="62DA6ABF" w14:textId="77777777" w:rsidR="00851B71" w:rsidRPr="00F63CD7"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1"/>
        <w:rPr>
          <w:rFonts w:ascii="Arial" w:hAnsi="Arial" w:cs="Arial"/>
          <w:b w:val="0"/>
          <w:strike/>
          <w:szCs w:val="24"/>
          <w:lang w:val="en"/>
        </w:rPr>
      </w:pPr>
    </w:p>
    <w:p w14:paraId="15EFA554" w14:textId="261389A9" w:rsidR="00851B71" w:rsidRPr="00F63CD7" w:rsidRDefault="00851B71" w:rsidP="000E406C">
      <w:pPr>
        <w:tabs>
          <w:tab w:val="clear" w:pos="1000"/>
          <w:tab w:val="left" w:pos="360"/>
          <w:tab w:val="left" w:pos="810"/>
          <w:tab w:val="left" w:pos="1210"/>
          <w:tab w:val="left" w:pos="1656"/>
          <w:tab w:val="left" w:pos="2131"/>
          <w:tab w:val="left" w:pos="2520"/>
        </w:tabs>
        <w:spacing w:line="240" w:lineRule="exact"/>
        <w:ind w:left="0" w:firstLine="0"/>
        <w:outlineLvl w:val="1"/>
        <w:rPr>
          <w:rFonts w:ascii="Arial" w:hAnsi="Arial" w:cs="Arial"/>
          <w:b w:val="0"/>
          <w:bCs/>
          <w:strike/>
          <w:szCs w:val="24"/>
          <w:lang w:val="en"/>
        </w:rPr>
      </w:pPr>
      <w:r w:rsidRPr="00F63CD7">
        <w:rPr>
          <w:rFonts w:ascii="Arial" w:hAnsi="Arial" w:cs="Arial"/>
          <w:b w:val="0"/>
          <w:strike/>
          <w:szCs w:val="24"/>
          <w:lang w:val="en"/>
        </w:rPr>
        <w:tab/>
      </w:r>
      <w:r w:rsidRPr="00F63CD7">
        <w:rPr>
          <w:rFonts w:ascii="Arial" w:hAnsi="Arial" w:cs="Arial"/>
          <w:b w:val="0"/>
          <w:strike/>
          <w:szCs w:val="24"/>
          <w:lang w:val="en"/>
        </w:rPr>
        <w:tab/>
      </w:r>
      <w:r w:rsidRPr="00F63CD7">
        <w:rPr>
          <w:rFonts w:ascii="Arial" w:hAnsi="Arial" w:cs="Arial"/>
          <w:b w:val="0"/>
          <w:strike/>
          <w:szCs w:val="24"/>
          <w:lang w:val="en"/>
        </w:rPr>
        <w:tab/>
        <w:t xml:space="preserve">(B)  Declared overseas contingency operations are listed at </w:t>
      </w:r>
      <w:hyperlink r:id="rId9" w:history="1">
        <w:r w:rsidR="00092CF9" w:rsidRPr="00F63CD7">
          <w:rPr>
            <w:rStyle w:val="Hyperlink"/>
            <w:rFonts w:ascii="Arial" w:eastAsia="Calibri" w:hAnsi="Arial" w:cs="Arial"/>
            <w:b w:val="0"/>
            <w:bCs/>
            <w:i/>
            <w:iCs/>
            <w:strike/>
            <w:szCs w:val="24"/>
            <w:lang w:val="en"/>
          </w:rPr>
          <w:t>https://www.acq.osd.mil/asda/dpc/cp/cc/international-operations.html</w:t>
        </w:r>
      </w:hyperlink>
      <w:r w:rsidRPr="00F63CD7">
        <w:rPr>
          <w:rFonts w:ascii="Arial" w:hAnsi="Arial" w:cs="Arial"/>
          <w:b w:val="0"/>
          <w:strike/>
          <w:szCs w:val="24"/>
          <w:lang w:val="en"/>
        </w:rPr>
        <w:t>.</w:t>
      </w:r>
    </w:p>
    <w:p w14:paraId="25A65511" w14:textId="77777777" w:rsidR="00851B71" w:rsidRPr="00F63CD7"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zCs w:val="24"/>
          <w:lang w:val="en"/>
        </w:rPr>
      </w:pPr>
    </w:p>
    <w:p w14:paraId="791A46F0"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r w:rsidRPr="00F5715B">
        <w:rPr>
          <w:rFonts w:ascii="Arial" w:hAnsi="Arial" w:cs="Arial"/>
          <w:b w:val="0"/>
          <w:szCs w:val="24"/>
          <w:lang w:val="en"/>
        </w:rPr>
        <w:tab/>
      </w:r>
      <w:r w:rsidRPr="00F5715B">
        <w:rPr>
          <w:rFonts w:ascii="Arial" w:hAnsi="Arial" w:cs="Arial"/>
          <w:b w:val="0"/>
          <w:szCs w:val="24"/>
          <w:lang w:val="en"/>
        </w:rPr>
        <w:tab/>
        <w:t>(ii)  "United States," as used in this section, is defined in FAR 2.101(b).</w:t>
      </w:r>
    </w:p>
    <w:p w14:paraId="00205642"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7399D932" w14:textId="700888E1"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r w:rsidRPr="00F5715B">
        <w:rPr>
          <w:rFonts w:ascii="Arial" w:hAnsi="Arial" w:cs="Arial"/>
          <w:b w:val="0"/>
          <w:szCs w:val="24"/>
          <w:lang w:val="en"/>
        </w:rPr>
        <w:tab/>
      </w:r>
      <w:r w:rsidRPr="00F5715B">
        <w:rPr>
          <w:rFonts w:ascii="Arial" w:hAnsi="Arial" w:cs="Arial"/>
          <w:b w:val="0"/>
          <w:szCs w:val="24"/>
          <w:lang w:val="en"/>
        </w:rPr>
        <w:tab/>
        <w:t>(iii)  Except as provided in paragraph (iv) of this section, the following tables illustrate the micro-purchase threshold based on the physical location of the Government purchaser and, for services, the place of performance:</w:t>
      </w:r>
    </w:p>
    <w:p w14:paraId="702E4E58"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3B8085DF"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r w:rsidRPr="00F5715B">
        <w:rPr>
          <w:rFonts w:ascii="Arial" w:hAnsi="Arial" w:cs="Arial"/>
          <w:b w:val="0"/>
          <w:szCs w:val="24"/>
          <w:lang w:val="en"/>
        </w:rPr>
        <w:tab/>
      </w:r>
      <w:r w:rsidRPr="00F5715B">
        <w:rPr>
          <w:rFonts w:ascii="Arial" w:hAnsi="Arial" w:cs="Arial"/>
          <w:b w:val="0"/>
          <w:szCs w:val="24"/>
          <w:lang w:val="en"/>
        </w:rPr>
        <w:tab/>
      </w:r>
      <w:r w:rsidRPr="00F5715B">
        <w:rPr>
          <w:rFonts w:ascii="Arial" w:hAnsi="Arial" w:cs="Arial"/>
          <w:b w:val="0"/>
          <w:szCs w:val="24"/>
          <w:lang w:val="en"/>
        </w:rPr>
        <w:tab/>
        <w:t>(A)  For supplies—</w:t>
      </w:r>
    </w:p>
    <w:p w14:paraId="4C9C983F"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586"/>
      </w:tblGrid>
      <w:tr w:rsidR="00851B71" w:rsidRPr="00F5715B" w14:paraId="4E867F59" w14:textId="77777777" w:rsidTr="00646F6E">
        <w:trPr>
          <w:trHeight w:val="413"/>
          <w:jc w:val="center"/>
        </w:trPr>
        <w:tc>
          <w:tcPr>
            <w:tcW w:w="4878" w:type="dxa"/>
            <w:shd w:val="clear" w:color="auto" w:fill="auto"/>
            <w:vAlign w:val="center"/>
          </w:tcPr>
          <w:p w14:paraId="2E8999BB"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sz w:val="22"/>
                <w:szCs w:val="22"/>
                <w:lang w:val="en"/>
              </w:rPr>
            </w:pPr>
            <w:r w:rsidRPr="00F5715B">
              <w:rPr>
                <w:rFonts w:ascii="Arial" w:eastAsia="Calibri" w:hAnsi="Arial" w:cs="Arial"/>
                <w:sz w:val="22"/>
                <w:szCs w:val="22"/>
                <w:lang w:val="en"/>
              </w:rPr>
              <w:t>Government Purchaser Physical Location</w:t>
            </w:r>
          </w:p>
        </w:tc>
        <w:tc>
          <w:tcPr>
            <w:tcW w:w="4698" w:type="dxa"/>
            <w:shd w:val="clear" w:color="auto" w:fill="auto"/>
            <w:vAlign w:val="center"/>
          </w:tcPr>
          <w:p w14:paraId="6FDB6389"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sz w:val="22"/>
                <w:szCs w:val="22"/>
                <w:lang w:val="en"/>
              </w:rPr>
            </w:pPr>
            <w:r w:rsidRPr="00F5715B">
              <w:rPr>
                <w:rFonts w:ascii="Arial" w:eastAsia="Calibri" w:hAnsi="Arial" w:cs="Arial"/>
                <w:sz w:val="22"/>
                <w:szCs w:val="22"/>
                <w:lang w:val="en"/>
              </w:rPr>
              <w:t>Authorized Micro-Purchase Threshold</w:t>
            </w:r>
          </w:p>
        </w:tc>
      </w:tr>
      <w:tr w:rsidR="00851B71" w:rsidRPr="00F5715B" w14:paraId="55B8CF7A" w14:textId="77777777" w:rsidTr="00646F6E">
        <w:trPr>
          <w:trHeight w:val="386"/>
          <w:jc w:val="center"/>
        </w:trPr>
        <w:tc>
          <w:tcPr>
            <w:tcW w:w="4878" w:type="dxa"/>
            <w:shd w:val="clear" w:color="auto" w:fill="auto"/>
            <w:vAlign w:val="center"/>
          </w:tcPr>
          <w:p w14:paraId="18D0477C"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Inside United States</w:t>
            </w:r>
          </w:p>
        </w:tc>
        <w:tc>
          <w:tcPr>
            <w:tcW w:w="4698" w:type="dxa"/>
            <w:shd w:val="clear" w:color="auto" w:fill="auto"/>
            <w:vAlign w:val="center"/>
          </w:tcPr>
          <w:p w14:paraId="095324D6"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$20,000</w:t>
            </w:r>
          </w:p>
        </w:tc>
      </w:tr>
      <w:tr w:rsidR="00851B71" w:rsidRPr="00F5715B" w14:paraId="68E47F55" w14:textId="77777777" w:rsidTr="00646F6E">
        <w:trPr>
          <w:trHeight w:val="404"/>
          <w:jc w:val="center"/>
        </w:trPr>
        <w:tc>
          <w:tcPr>
            <w:tcW w:w="4878" w:type="dxa"/>
            <w:shd w:val="clear" w:color="auto" w:fill="auto"/>
            <w:vAlign w:val="center"/>
          </w:tcPr>
          <w:p w14:paraId="2DFC5BD4"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Outside United States</w:t>
            </w:r>
          </w:p>
        </w:tc>
        <w:tc>
          <w:tcPr>
            <w:tcW w:w="4698" w:type="dxa"/>
            <w:shd w:val="clear" w:color="auto" w:fill="auto"/>
            <w:vAlign w:val="center"/>
          </w:tcPr>
          <w:p w14:paraId="455BAC0E"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w:t>
            </w:r>
            <w:r w:rsidR="002E3CD2" w:rsidRPr="00F5715B">
              <w:rPr>
                <w:rFonts w:ascii="Arial" w:eastAsia="Calibri" w:hAnsi="Arial" w:cs="Arial"/>
                <w:b w:val="0"/>
                <w:sz w:val="22"/>
                <w:szCs w:val="22"/>
                <w:lang w:val="en"/>
              </w:rPr>
              <w:t>35</w:t>
            </w:r>
            <w:r w:rsidRPr="00F5715B">
              <w:rPr>
                <w:rFonts w:ascii="Arial" w:eastAsia="Calibri" w:hAnsi="Arial" w:cs="Arial"/>
                <w:b w:val="0"/>
                <w:sz w:val="22"/>
                <w:szCs w:val="22"/>
                <w:lang w:val="en"/>
              </w:rPr>
              <w:t>,000</w:t>
            </w:r>
          </w:p>
        </w:tc>
      </w:tr>
    </w:tbl>
    <w:p w14:paraId="20F5CF73"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11243404" w14:textId="25EFD2A7" w:rsidR="00851B71"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r w:rsidRPr="00F5715B">
        <w:rPr>
          <w:rFonts w:ascii="Arial" w:hAnsi="Arial" w:cs="Arial"/>
          <w:b w:val="0"/>
          <w:szCs w:val="24"/>
          <w:lang w:val="en"/>
        </w:rPr>
        <w:tab/>
      </w:r>
      <w:r w:rsidRPr="00F5715B">
        <w:rPr>
          <w:rFonts w:ascii="Arial" w:hAnsi="Arial" w:cs="Arial"/>
          <w:b w:val="0"/>
          <w:szCs w:val="24"/>
          <w:lang w:val="en"/>
        </w:rPr>
        <w:tab/>
      </w:r>
      <w:r w:rsidRPr="00F5715B">
        <w:rPr>
          <w:rFonts w:ascii="Arial" w:hAnsi="Arial" w:cs="Arial"/>
          <w:b w:val="0"/>
          <w:szCs w:val="24"/>
          <w:lang w:val="en"/>
        </w:rPr>
        <w:tab/>
        <w:t>(B)  For services</w:t>
      </w:r>
      <w:r w:rsidRPr="009202FD">
        <w:rPr>
          <w:rFonts w:ascii="Arial" w:hAnsi="Arial" w:cs="Arial"/>
          <w:b w:val="0"/>
          <w:strike/>
          <w:szCs w:val="24"/>
          <w:lang w:val="en"/>
        </w:rPr>
        <w:t>, including acquisitions of services subject to 41 U.S.C. chapter 67, Service Contract Labor Standards</w:t>
      </w:r>
      <w:r w:rsidRPr="00F5715B">
        <w:rPr>
          <w:rFonts w:ascii="Arial" w:hAnsi="Arial" w:cs="Arial"/>
          <w:b w:val="0"/>
          <w:szCs w:val="24"/>
          <w:lang w:val="en"/>
        </w:rPr>
        <w:t>—</w:t>
      </w:r>
    </w:p>
    <w:p w14:paraId="7C71269B" w14:textId="1BE315A0" w:rsidR="000A7654" w:rsidRDefault="000A7654"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45421599" w14:textId="134377B6" w:rsidR="000F36F1" w:rsidRDefault="000F36F1">
      <w:pPr>
        <w:tabs>
          <w:tab w:val="clear" w:pos="1000"/>
        </w:tabs>
        <w:ind w:left="0" w:firstLine="0"/>
        <w:rPr>
          <w:rFonts w:ascii="Arial" w:hAnsi="Arial" w:cs="Arial"/>
          <w:b w:val="0"/>
          <w:szCs w:val="24"/>
          <w:lang w:val="en"/>
        </w:rPr>
      </w:pPr>
      <w:r>
        <w:rPr>
          <w:rFonts w:ascii="Arial" w:hAnsi="Arial" w:cs="Arial"/>
          <w:b w:val="0"/>
          <w:szCs w:val="24"/>
          <w:lang w:val="en"/>
        </w:rPr>
        <w:br w:type="page"/>
      </w:r>
    </w:p>
    <w:p w14:paraId="1E542E87" w14:textId="77777777" w:rsidR="000F36F1" w:rsidRPr="00F5715B" w:rsidRDefault="000F36F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3510"/>
        <w:gridCol w:w="3089"/>
      </w:tblGrid>
      <w:tr w:rsidR="00851B71" w:rsidRPr="00F5715B" w14:paraId="6F7C2283" w14:textId="77777777" w:rsidTr="00646F6E">
        <w:trPr>
          <w:trHeight w:val="638"/>
        </w:trPr>
        <w:tc>
          <w:tcPr>
            <w:tcW w:w="2808" w:type="dxa"/>
            <w:shd w:val="clear" w:color="auto" w:fill="auto"/>
            <w:vAlign w:val="center"/>
          </w:tcPr>
          <w:p w14:paraId="632C76FF"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sz w:val="22"/>
                <w:szCs w:val="22"/>
                <w:lang w:val="en"/>
              </w:rPr>
            </w:pPr>
            <w:r w:rsidRPr="00F5715B">
              <w:rPr>
                <w:rFonts w:ascii="Arial" w:eastAsia="Calibri" w:hAnsi="Arial" w:cs="Arial"/>
                <w:sz w:val="22"/>
                <w:szCs w:val="22"/>
                <w:lang w:val="en"/>
              </w:rPr>
              <w:t>Government Purchaser Physical Location</w:t>
            </w:r>
          </w:p>
        </w:tc>
        <w:tc>
          <w:tcPr>
            <w:tcW w:w="3600" w:type="dxa"/>
            <w:shd w:val="clear" w:color="auto" w:fill="auto"/>
            <w:vAlign w:val="center"/>
          </w:tcPr>
          <w:p w14:paraId="3BDDEEED"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sz w:val="22"/>
                <w:szCs w:val="22"/>
                <w:lang w:val="en"/>
              </w:rPr>
            </w:pPr>
            <w:r w:rsidRPr="00F5715B">
              <w:rPr>
                <w:rFonts w:ascii="Arial" w:eastAsia="Calibri" w:hAnsi="Arial" w:cs="Arial"/>
                <w:sz w:val="22"/>
                <w:szCs w:val="22"/>
                <w:lang w:val="en"/>
              </w:rPr>
              <w:t xml:space="preserve">Place of </w:t>
            </w:r>
          </w:p>
          <w:p w14:paraId="4C23CF37"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sz w:val="22"/>
                <w:szCs w:val="22"/>
                <w:lang w:val="en"/>
              </w:rPr>
            </w:pPr>
            <w:r w:rsidRPr="00F5715B">
              <w:rPr>
                <w:rFonts w:ascii="Arial" w:eastAsia="Calibri" w:hAnsi="Arial" w:cs="Arial"/>
                <w:sz w:val="22"/>
                <w:szCs w:val="22"/>
                <w:lang w:val="en"/>
              </w:rPr>
              <w:t>Performance</w:t>
            </w:r>
          </w:p>
        </w:tc>
        <w:tc>
          <w:tcPr>
            <w:tcW w:w="3168" w:type="dxa"/>
            <w:shd w:val="clear" w:color="auto" w:fill="auto"/>
            <w:vAlign w:val="center"/>
          </w:tcPr>
          <w:p w14:paraId="14D15803"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sz w:val="22"/>
                <w:szCs w:val="22"/>
                <w:lang w:val="en"/>
              </w:rPr>
            </w:pPr>
            <w:r w:rsidRPr="00F5715B">
              <w:rPr>
                <w:rFonts w:ascii="Arial" w:eastAsia="Calibri" w:hAnsi="Arial" w:cs="Arial"/>
                <w:sz w:val="22"/>
                <w:szCs w:val="22"/>
                <w:lang w:val="en"/>
              </w:rPr>
              <w:t xml:space="preserve">Authorized </w:t>
            </w:r>
          </w:p>
          <w:p w14:paraId="3E2A1533"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sz w:val="22"/>
                <w:szCs w:val="22"/>
                <w:lang w:val="en"/>
              </w:rPr>
            </w:pPr>
            <w:r w:rsidRPr="00F5715B">
              <w:rPr>
                <w:rFonts w:ascii="Arial" w:eastAsia="Calibri" w:hAnsi="Arial" w:cs="Arial"/>
                <w:sz w:val="22"/>
                <w:szCs w:val="22"/>
                <w:lang w:val="en"/>
              </w:rPr>
              <w:t>Micro-Purchase Threshold</w:t>
            </w:r>
          </w:p>
        </w:tc>
      </w:tr>
      <w:tr w:rsidR="00851B71" w:rsidRPr="00F5715B" w14:paraId="166C11F1" w14:textId="77777777" w:rsidTr="00646F6E">
        <w:trPr>
          <w:trHeight w:val="323"/>
        </w:trPr>
        <w:tc>
          <w:tcPr>
            <w:tcW w:w="2808" w:type="dxa"/>
            <w:shd w:val="clear" w:color="auto" w:fill="auto"/>
            <w:vAlign w:val="center"/>
          </w:tcPr>
          <w:p w14:paraId="0844E564"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Inside United States</w:t>
            </w:r>
          </w:p>
        </w:tc>
        <w:tc>
          <w:tcPr>
            <w:tcW w:w="3600" w:type="dxa"/>
            <w:shd w:val="clear" w:color="auto" w:fill="auto"/>
            <w:vAlign w:val="center"/>
          </w:tcPr>
          <w:p w14:paraId="5620F316" w14:textId="75EFED0E"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 xml:space="preserve">Inside or </w:t>
            </w:r>
            <w:r w:rsidR="006B3637" w:rsidRPr="000E406C">
              <w:rPr>
                <w:rFonts w:ascii="Arial" w:eastAsia="Calibri" w:hAnsi="Arial" w:cs="Arial"/>
                <w:bCs/>
                <w:sz w:val="22"/>
                <w:szCs w:val="22"/>
                <w:lang w:val="en"/>
              </w:rPr>
              <w:t>[</w:t>
            </w:r>
            <w:r w:rsidR="00564A12" w:rsidRPr="000E406C">
              <w:rPr>
                <w:rFonts w:ascii="Arial" w:eastAsia="Calibri" w:hAnsi="Arial" w:cs="Arial"/>
                <w:bCs/>
                <w:sz w:val="22"/>
                <w:szCs w:val="22"/>
                <w:lang w:val="en"/>
              </w:rPr>
              <w:t>o</w:t>
            </w:r>
            <w:r w:rsidR="006B3637" w:rsidRPr="000E406C">
              <w:rPr>
                <w:rFonts w:ascii="Arial" w:eastAsia="Calibri" w:hAnsi="Arial" w:cs="Arial"/>
                <w:bCs/>
                <w:sz w:val="22"/>
                <w:szCs w:val="22"/>
                <w:lang w:val="en"/>
              </w:rPr>
              <w:t>]</w:t>
            </w:r>
            <w:r w:rsidR="006B3637" w:rsidRPr="000E406C">
              <w:rPr>
                <w:rFonts w:ascii="Arial" w:eastAsia="Calibri" w:hAnsi="Arial" w:cs="Arial"/>
                <w:b w:val="0"/>
                <w:strike/>
                <w:sz w:val="22"/>
                <w:szCs w:val="22"/>
                <w:lang w:val="en"/>
              </w:rPr>
              <w:t>O</w:t>
            </w:r>
            <w:r w:rsidR="00564A12" w:rsidRPr="00F5715B">
              <w:rPr>
                <w:rFonts w:ascii="Arial" w:eastAsia="Calibri" w:hAnsi="Arial" w:cs="Arial"/>
                <w:b w:val="0"/>
                <w:sz w:val="22"/>
                <w:szCs w:val="22"/>
                <w:lang w:val="en"/>
              </w:rPr>
              <w:t xml:space="preserve">utside </w:t>
            </w:r>
            <w:r w:rsidRPr="00F5715B">
              <w:rPr>
                <w:rFonts w:ascii="Arial" w:eastAsia="Calibri" w:hAnsi="Arial" w:cs="Arial"/>
                <w:b w:val="0"/>
                <w:sz w:val="22"/>
                <w:szCs w:val="22"/>
                <w:lang w:val="en"/>
              </w:rPr>
              <w:t>United States</w:t>
            </w:r>
          </w:p>
        </w:tc>
        <w:tc>
          <w:tcPr>
            <w:tcW w:w="3168" w:type="dxa"/>
            <w:shd w:val="clear" w:color="auto" w:fill="auto"/>
            <w:vAlign w:val="center"/>
          </w:tcPr>
          <w:p w14:paraId="491A70F4"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$20,000</w:t>
            </w:r>
          </w:p>
        </w:tc>
      </w:tr>
      <w:tr w:rsidR="00851B71" w:rsidRPr="00F5715B" w14:paraId="0E7D820E" w14:textId="77777777" w:rsidTr="00646F6E">
        <w:trPr>
          <w:trHeight w:val="341"/>
        </w:trPr>
        <w:tc>
          <w:tcPr>
            <w:tcW w:w="2808" w:type="dxa"/>
            <w:shd w:val="clear" w:color="auto" w:fill="auto"/>
            <w:vAlign w:val="center"/>
          </w:tcPr>
          <w:p w14:paraId="4AF90119"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Outside United States</w:t>
            </w:r>
          </w:p>
        </w:tc>
        <w:tc>
          <w:tcPr>
            <w:tcW w:w="3600" w:type="dxa"/>
            <w:shd w:val="clear" w:color="auto" w:fill="auto"/>
            <w:vAlign w:val="center"/>
          </w:tcPr>
          <w:p w14:paraId="4DABFEE9"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Inside United States</w:t>
            </w:r>
          </w:p>
        </w:tc>
        <w:tc>
          <w:tcPr>
            <w:tcW w:w="3168" w:type="dxa"/>
            <w:shd w:val="clear" w:color="auto" w:fill="auto"/>
            <w:vAlign w:val="center"/>
          </w:tcPr>
          <w:p w14:paraId="5A5F20E3"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$20,000</w:t>
            </w:r>
          </w:p>
        </w:tc>
      </w:tr>
      <w:tr w:rsidR="00851B71" w:rsidRPr="00F5715B" w14:paraId="7EC6BEB2" w14:textId="77777777" w:rsidTr="00646F6E">
        <w:trPr>
          <w:trHeight w:val="359"/>
        </w:trPr>
        <w:tc>
          <w:tcPr>
            <w:tcW w:w="2808" w:type="dxa"/>
            <w:shd w:val="clear" w:color="auto" w:fill="auto"/>
            <w:vAlign w:val="center"/>
          </w:tcPr>
          <w:p w14:paraId="7FF3018A"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Outside United States</w:t>
            </w:r>
          </w:p>
        </w:tc>
        <w:tc>
          <w:tcPr>
            <w:tcW w:w="3600" w:type="dxa"/>
            <w:shd w:val="clear" w:color="auto" w:fill="auto"/>
            <w:vAlign w:val="center"/>
          </w:tcPr>
          <w:p w14:paraId="288EFCA7"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Outside United States</w:t>
            </w:r>
          </w:p>
        </w:tc>
        <w:tc>
          <w:tcPr>
            <w:tcW w:w="3168" w:type="dxa"/>
            <w:shd w:val="clear" w:color="auto" w:fill="auto"/>
            <w:vAlign w:val="center"/>
          </w:tcPr>
          <w:p w14:paraId="107F4D57"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jc w:val="center"/>
              <w:rPr>
                <w:rFonts w:ascii="Arial" w:eastAsia="Calibri" w:hAnsi="Arial" w:cs="Arial"/>
                <w:b w:val="0"/>
                <w:sz w:val="22"/>
                <w:szCs w:val="22"/>
                <w:lang w:val="en"/>
              </w:rPr>
            </w:pPr>
            <w:r w:rsidRPr="00F5715B">
              <w:rPr>
                <w:rFonts w:ascii="Arial" w:eastAsia="Calibri" w:hAnsi="Arial" w:cs="Arial"/>
                <w:b w:val="0"/>
                <w:sz w:val="22"/>
                <w:szCs w:val="22"/>
                <w:lang w:val="en"/>
              </w:rPr>
              <w:t>$</w:t>
            </w:r>
            <w:r w:rsidR="002E3CD2" w:rsidRPr="00F5715B">
              <w:rPr>
                <w:rFonts w:ascii="Arial" w:eastAsia="Calibri" w:hAnsi="Arial" w:cs="Arial"/>
                <w:b w:val="0"/>
                <w:sz w:val="22"/>
                <w:szCs w:val="22"/>
                <w:lang w:val="en"/>
              </w:rPr>
              <w:t>35</w:t>
            </w:r>
            <w:r w:rsidRPr="00F5715B">
              <w:rPr>
                <w:rFonts w:ascii="Arial" w:eastAsia="Calibri" w:hAnsi="Arial" w:cs="Arial"/>
                <w:b w:val="0"/>
                <w:sz w:val="22"/>
                <w:szCs w:val="22"/>
                <w:lang w:val="en"/>
              </w:rPr>
              <w:t>,000</w:t>
            </w:r>
          </w:p>
        </w:tc>
      </w:tr>
    </w:tbl>
    <w:p w14:paraId="18E91934" w14:textId="77777777" w:rsidR="002E3CD2" w:rsidRPr="00F5715B" w:rsidRDefault="002E3CD2"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4178922B" w14:textId="26937A2C" w:rsidR="00851B71" w:rsidRDefault="00710B3F"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r w:rsidRPr="00F5715B">
        <w:rPr>
          <w:rFonts w:ascii="Arial" w:hAnsi="Arial" w:cs="Arial"/>
          <w:b w:val="0"/>
          <w:szCs w:val="24"/>
          <w:lang w:val="en"/>
        </w:rPr>
        <w:tab/>
      </w:r>
      <w:r w:rsidR="002E3CD2" w:rsidRPr="00F5715B">
        <w:rPr>
          <w:rFonts w:ascii="Arial" w:hAnsi="Arial" w:cs="Arial"/>
          <w:b w:val="0"/>
          <w:szCs w:val="24"/>
          <w:lang w:val="en"/>
        </w:rPr>
        <w:tab/>
      </w:r>
      <w:r w:rsidR="00851B71" w:rsidRPr="00F5715B">
        <w:rPr>
          <w:rFonts w:ascii="Arial" w:hAnsi="Arial" w:cs="Arial"/>
          <w:b w:val="0"/>
          <w:szCs w:val="24"/>
          <w:lang w:val="en"/>
        </w:rPr>
        <w:t xml:space="preserve">(iv)(A)  </w:t>
      </w:r>
      <w:r w:rsidR="00460A93" w:rsidRPr="00460A93">
        <w:rPr>
          <w:rFonts w:ascii="Arial" w:hAnsi="Arial" w:cs="Arial"/>
          <w:bCs/>
          <w:szCs w:val="24"/>
          <w:lang w:val="en"/>
        </w:rPr>
        <w:t>[Unless authorized by statute, ]</w:t>
      </w:r>
      <w:r w:rsidR="00851B71" w:rsidRPr="00F5715B">
        <w:rPr>
          <w:rFonts w:ascii="Arial" w:hAnsi="Arial" w:cs="Arial"/>
          <w:b w:val="0"/>
          <w:szCs w:val="24"/>
          <w:lang w:val="en"/>
        </w:rPr>
        <w:t xml:space="preserve">Government purchasers </w:t>
      </w:r>
      <w:r w:rsidR="00460A93" w:rsidRPr="00460A93">
        <w:rPr>
          <w:rFonts w:ascii="Arial" w:hAnsi="Arial" w:cs="Arial"/>
          <w:bCs/>
          <w:szCs w:val="24"/>
          <w:lang w:val="en"/>
        </w:rPr>
        <w:t>[physically ]</w:t>
      </w:r>
      <w:r w:rsidR="00851B71" w:rsidRPr="00F5715B">
        <w:rPr>
          <w:rFonts w:ascii="Arial" w:hAnsi="Arial" w:cs="Arial"/>
          <w:b w:val="0"/>
          <w:szCs w:val="24"/>
          <w:lang w:val="en"/>
        </w:rPr>
        <w:t xml:space="preserve">located inside the United States are prohibited from using the </w:t>
      </w:r>
      <w:r w:rsidR="00851B71" w:rsidRPr="00460A93">
        <w:rPr>
          <w:rFonts w:ascii="Arial" w:hAnsi="Arial" w:cs="Arial"/>
          <w:b w:val="0"/>
          <w:strike/>
          <w:szCs w:val="24"/>
          <w:lang w:val="en"/>
        </w:rPr>
        <w:t>$</w:t>
      </w:r>
      <w:r w:rsidR="002E3CD2" w:rsidRPr="00460A93">
        <w:rPr>
          <w:rFonts w:ascii="Arial" w:hAnsi="Arial" w:cs="Arial"/>
          <w:b w:val="0"/>
          <w:strike/>
          <w:szCs w:val="24"/>
          <w:lang w:val="en"/>
        </w:rPr>
        <w:t>35,</w:t>
      </w:r>
      <w:r w:rsidR="00851B71" w:rsidRPr="00460A93">
        <w:rPr>
          <w:rFonts w:ascii="Arial" w:hAnsi="Arial" w:cs="Arial"/>
          <w:b w:val="0"/>
          <w:strike/>
          <w:szCs w:val="24"/>
          <w:lang w:val="en"/>
        </w:rPr>
        <w:t xml:space="preserve">000 contingency </w:t>
      </w:r>
      <w:r w:rsidR="00851B71" w:rsidRPr="00F5715B">
        <w:rPr>
          <w:rFonts w:ascii="Arial" w:hAnsi="Arial" w:cs="Arial"/>
          <w:b w:val="0"/>
          <w:szCs w:val="24"/>
          <w:lang w:val="en"/>
        </w:rPr>
        <w:t>micro-purchase threshold</w:t>
      </w:r>
      <w:r w:rsidR="00460A93" w:rsidRPr="00460A93">
        <w:rPr>
          <w:rFonts w:ascii="Arial" w:hAnsi="Arial" w:cs="Arial"/>
          <w:bCs/>
          <w:szCs w:val="24"/>
          <w:lang w:val="en"/>
        </w:rPr>
        <w:t>[ authorized for purchases made and/or with a place of performance outside the United States.]</w:t>
      </w:r>
      <w:r w:rsidR="00851B71" w:rsidRPr="00460A93">
        <w:rPr>
          <w:rFonts w:ascii="Arial" w:hAnsi="Arial" w:cs="Arial"/>
          <w:b w:val="0"/>
          <w:strike/>
          <w:szCs w:val="24"/>
          <w:lang w:val="en"/>
        </w:rPr>
        <w:t xml:space="preserve">, unless specifically </w:t>
      </w:r>
      <w:r w:rsidR="00093288" w:rsidRPr="00460A93">
        <w:rPr>
          <w:rFonts w:ascii="Arial" w:hAnsi="Arial" w:cs="Arial"/>
          <w:b w:val="0"/>
          <w:strike/>
          <w:szCs w:val="24"/>
          <w:lang w:val="en"/>
        </w:rPr>
        <w:t>authorized by statute.</w:t>
      </w:r>
    </w:p>
    <w:p w14:paraId="498C50E4" w14:textId="77777777" w:rsidR="00F5715B" w:rsidRDefault="00F5715B"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2708096E" w14:textId="4079338B" w:rsidR="00F5715B" w:rsidRPr="00F5715B" w:rsidRDefault="00F5715B"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r>
        <w:rPr>
          <w:rFonts w:ascii="Arial" w:hAnsi="Arial" w:cs="Arial"/>
          <w:b w:val="0"/>
          <w:szCs w:val="24"/>
          <w:lang w:val="en"/>
        </w:rPr>
        <w:tab/>
      </w:r>
      <w:r>
        <w:rPr>
          <w:rFonts w:ascii="Arial" w:hAnsi="Arial" w:cs="Arial"/>
          <w:b w:val="0"/>
          <w:szCs w:val="24"/>
          <w:lang w:val="en"/>
        </w:rPr>
        <w:tab/>
      </w:r>
      <w:r>
        <w:rPr>
          <w:rFonts w:ascii="Arial" w:hAnsi="Arial" w:cs="Arial"/>
          <w:b w:val="0"/>
          <w:szCs w:val="24"/>
          <w:lang w:val="en"/>
        </w:rPr>
        <w:tab/>
      </w:r>
      <w:r w:rsidRPr="00F5715B">
        <w:rPr>
          <w:rFonts w:ascii="Arial" w:hAnsi="Arial" w:cs="Arial"/>
          <w:szCs w:val="24"/>
          <w:lang w:val="en"/>
        </w:rPr>
        <w:t xml:space="preserve">[(B) </w:t>
      </w:r>
      <w:r w:rsidR="00AE78AB">
        <w:rPr>
          <w:rFonts w:ascii="Arial" w:hAnsi="Arial" w:cs="Arial"/>
          <w:szCs w:val="24"/>
          <w:lang w:val="en"/>
        </w:rPr>
        <w:t xml:space="preserve"> </w:t>
      </w:r>
      <w:r w:rsidR="00C31811" w:rsidRPr="00C31811">
        <w:rPr>
          <w:rFonts w:ascii="Arial" w:hAnsi="Arial" w:cs="Arial"/>
          <w:bCs/>
          <w:szCs w:val="24"/>
          <w:lang w:val="en"/>
        </w:rPr>
        <w:t>T</w:t>
      </w:r>
      <w:r w:rsidRPr="00C31811">
        <w:rPr>
          <w:rFonts w:ascii="Arial" w:hAnsi="Arial" w:cs="Arial"/>
          <w:bCs/>
          <w:szCs w:val="24"/>
        </w:rPr>
        <w:t>h</w:t>
      </w:r>
      <w:r w:rsidRPr="00F5715B">
        <w:rPr>
          <w:rFonts w:ascii="Arial" w:hAnsi="Arial" w:cs="Arial"/>
          <w:szCs w:val="24"/>
        </w:rPr>
        <w:t>e</w:t>
      </w:r>
      <w:r w:rsidRPr="006F048D">
        <w:rPr>
          <w:rFonts w:ascii="Arial" w:hAnsi="Arial" w:cs="Arial"/>
          <w:szCs w:val="24"/>
        </w:rPr>
        <w:t xml:space="preserve"> micro-purchase threshold for acquisitions subject to</w:t>
      </w:r>
      <w:r w:rsidRPr="006F048D">
        <w:t xml:space="preserve"> </w:t>
      </w:r>
      <w:r w:rsidRPr="006F048D">
        <w:rPr>
          <w:rFonts w:ascii="Arial" w:hAnsi="Arial" w:cs="Arial"/>
          <w:szCs w:val="24"/>
        </w:rPr>
        <w:t>41 U.S.C. chapter 67, Service Contract Labor Standards</w:t>
      </w:r>
      <w:r w:rsidR="001D7701">
        <w:rPr>
          <w:rFonts w:ascii="Arial" w:hAnsi="Arial" w:cs="Arial"/>
          <w:szCs w:val="24"/>
        </w:rPr>
        <w:t>,</w:t>
      </w:r>
      <w:r w:rsidR="00940485">
        <w:rPr>
          <w:rFonts w:ascii="Arial" w:hAnsi="Arial" w:cs="Arial"/>
          <w:szCs w:val="24"/>
        </w:rPr>
        <w:t xml:space="preserve"> </w:t>
      </w:r>
      <w:r w:rsidR="00CC5C20">
        <w:rPr>
          <w:rFonts w:ascii="Arial" w:hAnsi="Arial" w:cs="Arial"/>
          <w:szCs w:val="24"/>
        </w:rPr>
        <w:t>remains</w:t>
      </w:r>
      <w:r w:rsidR="00940485">
        <w:rPr>
          <w:rFonts w:ascii="Arial" w:hAnsi="Arial" w:cs="Arial"/>
          <w:szCs w:val="24"/>
        </w:rPr>
        <w:t xml:space="preserve"> $2,500</w:t>
      </w:r>
      <w:r w:rsidR="00BF591A">
        <w:rPr>
          <w:rFonts w:ascii="Arial" w:hAnsi="Arial" w:cs="Arial"/>
          <w:szCs w:val="24"/>
        </w:rPr>
        <w:t>.</w:t>
      </w:r>
      <w:r>
        <w:rPr>
          <w:rFonts w:ascii="Arial" w:hAnsi="Arial" w:cs="Arial"/>
          <w:szCs w:val="24"/>
        </w:rPr>
        <w:t>]</w:t>
      </w:r>
    </w:p>
    <w:p w14:paraId="7A5E8930" w14:textId="77777777" w:rsidR="00851B71" w:rsidRPr="00F5715B" w:rsidRDefault="00851B71"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24BB1DCE" w14:textId="7FE97938" w:rsidR="00BF591A" w:rsidRDefault="00495BB2"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r>
        <w:rPr>
          <w:rFonts w:ascii="Arial" w:hAnsi="Arial" w:cs="Arial"/>
          <w:b w:val="0"/>
          <w:szCs w:val="24"/>
          <w:lang w:val="en"/>
        </w:rPr>
        <w:tab/>
      </w:r>
      <w:r w:rsidR="00851B71" w:rsidRPr="00F5715B">
        <w:rPr>
          <w:rFonts w:ascii="Arial" w:hAnsi="Arial" w:cs="Arial"/>
          <w:b w:val="0"/>
          <w:szCs w:val="24"/>
          <w:lang w:val="en"/>
        </w:rPr>
        <w:tab/>
      </w:r>
      <w:r w:rsidR="00851B71" w:rsidRPr="00F5715B">
        <w:rPr>
          <w:rFonts w:ascii="Arial" w:hAnsi="Arial" w:cs="Arial"/>
          <w:b w:val="0"/>
          <w:szCs w:val="24"/>
          <w:lang w:val="en"/>
        </w:rPr>
        <w:tab/>
        <w:t>(</w:t>
      </w:r>
      <w:r w:rsidR="00851B71" w:rsidRPr="00F5715B">
        <w:rPr>
          <w:rFonts w:ascii="Arial" w:hAnsi="Arial" w:cs="Arial"/>
          <w:b w:val="0"/>
          <w:strike/>
          <w:szCs w:val="24"/>
          <w:lang w:val="en"/>
        </w:rPr>
        <w:t>B</w:t>
      </w:r>
      <w:r w:rsidR="00F5715B" w:rsidRPr="00F5715B">
        <w:rPr>
          <w:rFonts w:ascii="Arial" w:hAnsi="Arial" w:cs="Arial"/>
          <w:szCs w:val="24"/>
          <w:lang w:val="en"/>
        </w:rPr>
        <w:t>[</w:t>
      </w:r>
      <w:r w:rsidR="00AE78AB">
        <w:rPr>
          <w:rFonts w:ascii="Arial" w:hAnsi="Arial" w:cs="Arial"/>
          <w:szCs w:val="24"/>
          <w:lang w:val="en"/>
        </w:rPr>
        <w:t>C</w:t>
      </w:r>
      <w:r w:rsidR="00F5715B" w:rsidRPr="00F5715B">
        <w:rPr>
          <w:rFonts w:ascii="Arial" w:hAnsi="Arial" w:cs="Arial"/>
          <w:szCs w:val="24"/>
          <w:lang w:val="en"/>
        </w:rPr>
        <w:t>]</w:t>
      </w:r>
      <w:r w:rsidR="00851B71" w:rsidRPr="00F5715B">
        <w:rPr>
          <w:rFonts w:ascii="Arial" w:hAnsi="Arial" w:cs="Arial"/>
          <w:b w:val="0"/>
          <w:szCs w:val="24"/>
          <w:lang w:val="en"/>
        </w:rPr>
        <w:t xml:space="preserve">)  </w:t>
      </w:r>
      <w:r w:rsidR="00BF591A" w:rsidRPr="00BF591A">
        <w:rPr>
          <w:rFonts w:ascii="Arial" w:hAnsi="Arial" w:cs="Arial"/>
          <w:b w:val="0"/>
          <w:szCs w:val="24"/>
          <w:lang w:val="en"/>
        </w:rPr>
        <w:t xml:space="preserve">The </w:t>
      </w:r>
      <w:r w:rsidR="00BF591A" w:rsidRPr="00BF591A">
        <w:rPr>
          <w:rFonts w:ascii="Arial" w:hAnsi="Arial" w:cs="Arial"/>
          <w:b w:val="0"/>
          <w:strike/>
          <w:szCs w:val="24"/>
          <w:lang w:val="en"/>
        </w:rPr>
        <w:t>$2,000</w:t>
      </w:r>
      <w:r w:rsidR="00BF591A" w:rsidRPr="00BF591A">
        <w:rPr>
          <w:rFonts w:ascii="Arial" w:hAnsi="Arial" w:cs="Arial"/>
          <w:b w:val="0"/>
          <w:szCs w:val="24"/>
          <w:lang w:val="en"/>
        </w:rPr>
        <w:t xml:space="preserve"> micro-purchase threshold for acquisitions of construction subject to 40 U.S.C. chapter 31, subchapter IV, Wage Rate Requirements (Construction)</w:t>
      </w:r>
      <w:r w:rsidR="00BF591A" w:rsidRPr="000E406C">
        <w:rPr>
          <w:rFonts w:ascii="Arial" w:hAnsi="Arial" w:cs="Arial"/>
          <w:b w:val="0"/>
          <w:szCs w:val="24"/>
          <w:lang w:val="en"/>
        </w:rPr>
        <w:t xml:space="preserve">, remains </w:t>
      </w:r>
      <w:r w:rsidR="0051614D">
        <w:rPr>
          <w:rFonts w:ascii="Arial" w:hAnsi="Arial" w:cs="Arial"/>
          <w:bCs/>
          <w:szCs w:val="24"/>
          <w:lang w:val="en"/>
        </w:rPr>
        <w:t>[</w:t>
      </w:r>
      <w:r w:rsidR="0051614D" w:rsidRPr="0017721E">
        <w:rPr>
          <w:rFonts w:ascii="Arial" w:hAnsi="Arial" w:cs="Arial"/>
          <w:bCs/>
          <w:szCs w:val="24"/>
          <w:lang w:val="en"/>
        </w:rPr>
        <w:t>$2,000.]</w:t>
      </w:r>
      <w:r w:rsidR="00BF591A" w:rsidRPr="0017721E">
        <w:rPr>
          <w:rFonts w:ascii="Arial" w:hAnsi="Arial" w:cs="Arial"/>
          <w:b w:val="0"/>
          <w:strike/>
          <w:szCs w:val="24"/>
          <w:lang w:val="en"/>
        </w:rPr>
        <w:t>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w14:paraId="07B53C9B" w14:textId="77777777" w:rsidR="00586FF9" w:rsidRPr="00F5715B" w:rsidRDefault="00586FF9"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zCs w:val="24"/>
          <w:lang w:val="en"/>
        </w:rPr>
      </w:pPr>
    </w:p>
    <w:p w14:paraId="4EE2A9D3" w14:textId="386DC1D1" w:rsidR="00B61AB4" w:rsidRDefault="006B3637"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rPr>
      </w:pPr>
      <w:r>
        <w:rPr>
          <w:rFonts w:ascii="Arial" w:hAnsi="Arial" w:cs="Arial"/>
          <w:b w:val="0"/>
        </w:rPr>
        <w:tab/>
      </w:r>
      <w:r w:rsidR="00586FF9">
        <w:rPr>
          <w:rFonts w:ascii="Arial" w:hAnsi="Arial" w:cs="Arial"/>
          <w:b w:val="0"/>
        </w:rPr>
        <w:tab/>
      </w:r>
      <w:r w:rsidR="00586FF9">
        <w:rPr>
          <w:rFonts w:ascii="Arial" w:hAnsi="Arial" w:cs="Arial"/>
          <w:b w:val="0"/>
        </w:rPr>
        <w:tab/>
      </w:r>
      <w:r w:rsidR="00586FF9">
        <w:rPr>
          <w:rFonts w:ascii="Arial" w:hAnsi="Arial" w:cs="Arial"/>
        </w:rPr>
        <w:t>[</w:t>
      </w:r>
      <w:r w:rsidR="00BF591A">
        <w:rPr>
          <w:rFonts w:ascii="Arial" w:hAnsi="Arial" w:cs="Arial"/>
        </w:rPr>
        <w:t>(</w:t>
      </w:r>
      <w:r w:rsidR="00AE78AB">
        <w:rPr>
          <w:rFonts w:ascii="Arial" w:hAnsi="Arial" w:cs="Arial"/>
        </w:rPr>
        <w:t>D</w:t>
      </w:r>
      <w:r w:rsidR="00BF591A">
        <w:rPr>
          <w:rFonts w:ascii="Arial" w:hAnsi="Arial" w:cs="Arial"/>
        </w:rPr>
        <w:t>)</w:t>
      </w:r>
      <w:r w:rsidR="00586FF9">
        <w:rPr>
          <w:rFonts w:ascii="Arial" w:hAnsi="Arial" w:cs="Arial"/>
        </w:rPr>
        <w:t xml:space="preserve">  The micro-purchase threshold</w:t>
      </w:r>
      <w:r w:rsidR="004E4BC6">
        <w:rPr>
          <w:rFonts w:ascii="Arial" w:hAnsi="Arial" w:cs="Arial"/>
        </w:rPr>
        <w:t>s</w:t>
      </w:r>
      <w:r w:rsidR="00586FF9">
        <w:rPr>
          <w:rFonts w:ascii="Arial" w:hAnsi="Arial" w:cs="Arial"/>
        </w:rPr>
        <w:t xml:space="preserve"> </w:t>
      </w:r>
      <w:r w:rsidR="00940485">
        <w:rPr>
          <w:rFonts w:ascii="Arial" w:hAnsi="Arial" w:cs="Arial"/>
        </w:rPr>
        <w:t xml:space="preserve">in paragraph (g)(iii) </w:t>
      </w:r>
      <w:r w:rsidR="0051614D">
        <w:rPr>
          <w:rFonts w:ascii="Arial" w:hAnsi="Arial" w:cs="Arial"/>
        </w:rPr>
        <w:t xml:space="preserve">of this section </w:t>
      </w:r>
      <w:r w:rsidR="00CC5C20">
        <w:rPr>
          <w:rFonts w:ascii="Arial" w:hAnsi="Arial" w:cs="Arial"/>
        </w:rPr>
        <w:t xml:space="preserve">are not authorized for </w:t>
      </w:r>
      <w:r w:rsidR="00586FF9">
        <w:rPr>
          <w:rFonts w:ascii="Arial" w:hAnsi="Arial" w:cs="Arial"/>
        </w:rPr>
        <w:t>acquisitions supporting humanitarian or peacekeeping operations</w:t>
      </w:r>
      <w:r w:rsidR="00A76E91">
        <w:rPr>
          <w:rFonts w:ascii="Arial" w:hAnsi="Arial" w:cs="Arial"/>
        </w:rPr>
        <w:t>.</w:t>
      </w:r>
      <w:r w:rsidR="00BF591A">
        <w:rPr>
          <w:rFonts w:ascii="Arial" w:hAnsi="Arial" w:cs="Arial"/>
        </w:rPr>
        <w:t>]</w:t>
      </w:r>
    </w:p>
    <w:p w14:paraId="10DC268E" w14:textId="77777777" w:rsidR="000A7654" w:rsidRPr="00586FF9" w:rsidRDefault="000A7654" w:rsidP="000E406C">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rPr>
      </w:pPr>
    </w:p>
    <w:sectPr w:rsidR="000A7654" w:rsidRPr="00586FF9" w:rsidSect="000E406C">
      <w:headerReference w:type="default" r:id="rId10"/>
      <w:footerReference w:type="default" r:id="rId11"/>
      <w:footnotePr>
        <w:numStart w:val="0"/>
      </w:footnotePr>
      <w:pgSz w:w="12240" w:h="15840" w:code="1"/>
      <w:pgMar w:top="1440" w:right="1440" w:bottom="1440" w:left="1440" w:header="634" w:footer="634"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ECBBC" w14:textId="77777777" w:rsidR="0046171F" w:rsidRDefault="0046171F">
      <w:r>
        <w:separator/>
      </w:r>
    </w:p>
  </w:endnote>
  <w:endnote w:type="continuationSeparator" w:id="0">
    <w:p w14:paraId="32B16959" w14:textId="77777777" w:rsidR="0046171F" w:rsidRDefault="0046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C1F7" w14:textId="101B314B" w:rsidR="00C7643A" w:rsidRPr="00C7643A" w:rsidRDefault="000F36F1" w:rsidP="00C7643A">
    <w:pPr>
      <w:tabs>
        <w:tab w:val="clear" w:pos="1000"/>
        <w:tab w:val="center" w:pos="4680"/>
        <w:tab w:val="right" w:pos="9360"/>
      </w:tabs>
      <w:ind w:left="0" w:firstLine="0"/>
      <w:jc w:val="center"/>
      <w:rPr>
        <w:rFonts w:ascii="Arial" w:eastAsia="Calibri" w:hAnsi="Arial" w:cs="Arial"/>
        <w:b w:val="0"/>
        <w:sz w:val="22"/>
        <w:szCs w:val="22"/>
      </w:rPr>
    </w:pPr>
    <w:sdt>
      <w:sdtPr>
        <w:rPr>
          <w:rFonts w:ascii="Arial" w:eastAsia="Calibri" w:hAnsi="Arial" w:cs="Arial"/>
          <w:b w:val="0"/>
          <w:sz w:val="22"/>
          <w:szCs w:val="22"/>
        </w:rPr>
        <w:id w:val="1875731787"/>
        <w:docPartObj>
          <w:docPartGallery w:val="Page Numbers (Bottom of Page)"/>
          <w:docPartUnique/>
        </w:docPartObj>
      </w:sdtPr>
      <w:sdtEndPr/>
      <w:sdtContent>
        <w:sdt>
          <w:sdtPr>
            <w:rPr>
              <w:rFonts w:ascii="Arial" w:eastAsia="Calibri" w:hAnsi="Arial" w:cs="Arial"/>
              <w:b w:val="0"/>
              <w:sz w:val="22"/>
              <w:szCs w:val="22"/>
            </w:rPr>
            <w:id w:val="-1669238322"/>
            <w:docPartObj>
              <w:docPartGallery w:val="Page Numbers (Top of Page)"/>
              <w:docPartUnique/>
            </w:docPartObj>
          </w:sdtPr>
          <w:sdtEndPr/>
          <w:sdtContent>
            <w:r w:rsidR="00C7643A" w:rsidRPr="00C7643A">
              <w:rPr>
                <w:rFonts w:ascii="Arial" w:eastAsia="Calibri" w:hAnsi="Arial" w:cs="Arial"/>
                <w:b w:val="0"/>
                <w:sz w:val="22"/>
                <w:szCs w:val="22"/>
              </w:rPr>
              <w:t xml:space="preserve">Page </w:t>
            </w:r>
            <w:r w:rsidR="00C7643A" w:rsidRPr="00C7643A">
              <w:rPr>
                <w:rFonts w:ascii="Arial" w:eastAsia="Calibri" w:hAnsi="Arial" w:cs="Arial"/>
                <w:b w:val="0"/>
                <w:sz w:val="22"/>
                <w:szCs w:val="22"/>
              </w:rPr>
              <w:fldChar w:fldCharType="begin"/>
            </w:r>
            <w:r w:rsidR="00C7643A" w:rsidRPr="00C7643A">
              <w:rPr>
                <w:rFonts w:ascii="Arial" w:eastAsia="Calibri" w:hAnsi="Arial" w:cs="Arial"/>
                <w:b w:val="0"/>
                <w:sz w:val="22"/>
                <w:szCs w:val="22"/>
              </w:rPr>
              <w:instrText xml:space="preserve"> PAGE  \* Arabic  \* MERGEFORMAT </w:instrText>
            </w:r>
            <w:r w:rsidR="00C7643A" w:rsidRPr="00C7643A">
              <w:rPr>
                <w:rFonts w:ascii="Arial" w:eastAsia="Calibri" w:hAnsi="Arial" w:cs="Arial"/>
                <w:b w:val="0"/>
                <w:sz w:val="22"/>
                <w:szCs w:val="22"/>
              </w:rPr>
              <w:fldChar w:fldCharType="separate"/>
            </w:r>
            <w:r w:rsidR="009202FD">
              <w:rPr>
                <w:rFonts w:ascii="Arial" w:eastAsia="Calibri" w:hAnsi="Arial" w:cs="Arial"/>
                <w:b w:val="0"/>
                <w:noProof/>
                <w:sz w:val="22"/>
                <w:szCs w:val="22"/>
              </w:rPr>
              <w:t>2</w:t>
            </w:r>
            <w:r w:rsidR="00C7643A" w:rsidRPr="00C7643A">
              <w:rPr>
                <w:rFonts w:ascii="Arial" w:eastAsia="Calibri" w:hAnsi="Arial" w:cs="Arial"/>
                <w:b w:val="0"/>
                <w:sz w:val="22"/>
                <w:szCs w:val="22"/>
              </w:rPr>
              <w:fldChar w:fldCharType="end"/>
            </w:r>
            <w:r w:rsidR="00C7643A" w:rsidRPr="00C7643A">
              <w:rPr>
                <w:rFonts w:ascii="Arial" w:eastAsia="Calibri" w:hAnsi="Arial" w:cs="Arial"/>
                <w:b w:val="0"/>
                <w:sz w:val="22"/>
                <w:szCs w:val="22"/>
              </w:rPr>
              <w:t xml:space="preserve"> of </w:t>
            </w:r>
            <w:r w:rsidR="00C7643A" w:rsidRPr="00C7643A">
              <w:rPr>
                <w:rFonts w:ascii="Arial" w:eastAsia="Calibri" w:hAnsi="Arial" w:cs="Arial"/>
                <w:b w:val="0"/>
                <w:sz w:val="22"/>
                <w:szCs w:val="22"/>
              </w:rPr>
              <w:fldChar w:fldCharType="begin"/>
            </w:r>
            <w:r w:rsidR="00C7643A" w:rsidRPr="00C7643A">
              <w:rPr>
                <w:rFonts w:ascii="Arial" w:eastAsia="Calibri" w:hAnsi="Arial" w:cs="Arial"/>
                <w:b w:val="0"/>
                <w:sz w:val="22"/>
                <w:szCs w:val="22"/>
              </w:rPr>
              <w:instrText xml:space="preserve"> NUMPAGES  \* Arabic  \* MERGEFORMAT </w:instrText>
            </w:r>
            <w:r w:rsidR="00C7643A" w:rsidRPr="00C7643A">
              <w:rPr>
                <w:rFonts w:ascii="Arial" w:eastAsia="Calibri" w:hAnsi="Arial" w:cs="Arial"/>
                <w:b w:val="0"/>
                <w:sz w:val="22"/>
                <w:szCs w:val="22"/>
              </w:rPr>
              <w:fldChar w:fldCharType="separate"/>
            </w:r>
            <w:r w:rsidR="009202FD">
              <w:rPr>
                <w:rFonts w:ascii="Arial" w:eastAsia="Calibri" w:hAnsi="Arial" w:cs="Arial"/>
                <w:b w:val="0"/>
                <w:noProof/>
                <w:sz w:val="22"/>
                <w:szCs w:val="22"/>
              </w:rPr>
              <w:t>2</w:t>
            </w:r>
            <w:r w:rsidR="00C7643A" w:rsidRPr="00C7643A">
              <w:rPr>
                <w:rFonts w:ascii="Arial" w:eastAsia="Calibri" w:hAnsi="Arial" w:cs="Arial"/>
                <w:b w:val="0"/>
                <w:sz w:val="22"/>
                <w:szCs w:val="2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FA0F" w14:textId="77777777" w:rsidR="0046171F" w:rsidRDefault="0046171F">
      <w:r>
        <w:separator/>
      </w:r>
    </w:p>
  </w:footnote>
  <w:footnote w:type="continuationSeparator" w:id="0">
    <w:p w14:paraId="42BF6CDB" w14:textId="77777777" w:rsidR="0046171F" w:rsidRDefault="00461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EF5B" w14:textId="77777777" w:rsidR="000A6AC8" w:rsidRPr="00B91CD1" w:rsidRDefault="000A6AC8" w:rsidP="00B91CD1">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5B71"/>
    <w:multiLevelType w:val="hybridMultilevel"/>
    <w:tmpl w:val="A2C01D34"/>
    <w:lvl w:ilvl="0" w:tplc="23EA159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97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Start w:val="0"/>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0E"/>
    <w:rsid w:val="000309E3"/>
    <w:rsid w:val="00042155"/>
    <w:rsid w:val="00092CF9"/>
    <w:rsid w:val="00093288"/>
    <w:rsid w:val="000A6AC8"/>
    <w:rsid w:val="000A7654"/>
    <w:rsid w:val="000C0388"/>
    <w:rsid w:val="000E406C"/>
    <w:rsid w:val="000F04FC"/>
    <w:rsid w:val="000F36F1"/>
    <w:rsid w:val="00107950"/>
    <w:rsid w:val="001156A1"/>
    <w:rsid w:val="00164B65"/>
    <w:rsid w:val="00165AF5"/>
    <w:rsid w:val="0017721E"/>
    <w:rsid w:val="001B5AEF"/>
    <w:rsid w:val="001C13D6"/>
    <w:rsid w:val="001D1958"/>
    <w:rsid w:val="001D4217"/>
    <w:rsid w:val="001D59CB"/>
    <w:rsid w:val="001D7701"/>
    <w:rsid w:val="001E49FD"/>
    <w:rsid w:val="00203B6D"/>
    <w:rsid w:val="00205D9F"/>
    <w:rsid w:val="002339C6"/>
    <w:rsid w:val="00242B4C"/>
    <w:rsid w:val="00253489"/>
    <w:rsid w:val="002563EC"/>
    <w:rsid w:val="0025693F"/>
    <w:rsid w:val="002A2EAB"/>
    <w:rsid w:val="002B1BC7"/>
    <w:rsid w:val="002E3CD2"/>
    <w:rsid w:val="002E4AB1"/>
    <w:rsid w:val="00304013"/>
    <w:rsid w:val="00325827"/>
    <w:rsid w:val="00330B2F"/>
    <w:rsid w:val="00330EA0"/>
    <w:rsid w:val="00341EB5"/>
    <w:rsid w:val="003426CB"/>
    <w:rsid w:val="003474C2"/>
    <w:rsid w:val="00386D5F"/>
    <w:rsid w:val="003A5C09"/>
    <w:rsid w:val="003B4AED"/>
    <w:rsid w:val="003D3D61"/>
    <w:rsid w:val="003E6AA4"/>
    <w:rsid w:val="004062FF"/>
    <w:rsid w:val="00415509"/>
    <w:rsid w:val="0041627E"/>
    <w:rsid w:val="00423FEF"/>
    <w:rsid w:val="00451FFE"/>
    <w:rsid w:val="00454C40"/>
    <w:rsid w:val="00460A93"/>
    <w:rsid w:val="00460F4E"/>
    <w:rsid w:val="0046171F"/>
    <w:rsid w:val="00471046"/>
    <w:rsid w:val="00495BB2"/>
    <w:rsid w:val="004A2A4F"/>
    <w:rsid w:val="004E4BC6"/>
    <w:rsid w:val="005074F8"/>
    <w:rsid w:val="0051614D"/>
    <w:rsid w:val="00517F21"/>
    <w:rsid w:val="00530F2B"/>
    <w:rsid w:val="00537F5D"/>
    <w:rsid w:val="00564A12"/>
    <w:rsid w:val="00576A3D"/>
    <w:rsid w:val="0058215B"/>
    <w:rsid w:val="00586FF9"/>
    <w:rsid w:val="00597356"/>
    <w:rsid w:val="005B1684"/>
    <w:rsid w:val="00603298"/>
    <w:rsid w:val="00641655"/>
    <w:rsid w:val="00646F6E"/>
    <w:rsid w:val="00665A73"/>
    <w:rsid w:val="00665D43"/>
    <w:rsid w:val="00677A6A"/>
    <w:rsid w:val="00697FB1"/>
    <w:rsid w:val="006A3261"/>
    <w:rsid w:val="006B1F44"/>
    <w:rsid w:val="006B3637"/>
    <w:rsid w:val="006E0E0E"/>
    <w:rsid w:val="00710B3F"/>
    <w:rsid w:val="00713477"/>
    <w:rsid w:val="00744993"/>
    <w:rsid w:val="0077784D"/>
    <w:rsid w:val="007876F0"/>
    <w:rsid w:val="007B354F"/>
    <w:rsid w:val="007E4812"/>
    <w:rsid w:val="00821334"/>
    <w:rsid w:val="0082302D"/>
    <w:rsid w:val="00851B71"/>
    <w:rsid w:val="008814F3"/>
    <w:rsid w:val="008877E7"/>
    <w:rsid w:val="008A062D"/>
    <w:rsid w:val="008C588E"/>
    <w:rsid w:val="008D1F57"/>
    <w:rsid w:val="008E2A5D"/>
    <w:rsid w:val="008F0C24"/>
    <w:rsid w:val="009202FD"/>
    <w:rsid w:val="00940485"/>
    <w:rsid w:val="009635E3"/>
    <w:rsid w:val="00977705"/>
    <w:rsid w:val="009804BE"/>
    <w:rsid w:val="00982C69"/>
    <w:rsid w:val="00995CE5"/>
    <w:rsid w:val="00996648"/>
    <w:rsid w:val="009B0E80"/>
    <w:rsid w:val="009C45F2"/>
    <w:rsid w:val="009C49C6"/>
    <w:rsid w:val="009E67B2"/>
    <w:rsid w:val="00A1614F"/>
    <w:rsid w:val="00A26143"/>
    <w:rsid w:val="00A32C97"/>
    <w:rsid w:val="00A5425F"/>
    <w:rsid w:val="00A65BF8"/>
    <w:rsid w:val="00A76E91"/>
    <w:rsid w:val="00A84BA1"/>
    <w:rsid w:val="00AB3320"/>
    <w:rsid w:val="00AB6D5B"/>
    <w:rsid w:val="00AE78AB"/>
    <w:rsid w:val="00AF489B"/>
    <w:rsid w:val="00B128EA"/>
    <w:rsid w:val="00B12E61"/>
    <w:rsid w:val="00B173B9"/>
    <w:rsid w:val="00B41B2B"/>
    <w:rsid w:val="00B44A47"/>
    <w:rsid w:val="00B61AB4"/>
    <w:rsid w:val="00B62F45"/>
    <w:rsid w:val="00B91CD1"/>
    <w:rsid w:val="00B96227"/>
    <w:rsid w:val="00BC71C0"/>
    <w:rsid w:val="00BF2660"/>
    <w:rsid w:val="00BF591A"/>
    <w:rsid w:val="00BF5BF4"/>
    <w:rsid w:val="00C16B2A"/>
    <w:rsid w:val="00C31811"/>
    <w:rsid w:val="00C37582"/>
    <w:rsid w:val="00C419B2"/>
    <w:rsid w:val="00C47DC1"/>
    <w:rsid w:val="00C5133A"/>
    <w:rsid w:val="00C74087"/>
    <w:rsid w:val="00C7643A"/>
    <w:rsid w:val="00CC5C20"/>
    <w:rsid w:val="00CC6B74"/>
    <w:rsid w:val="00CE0D4C"/>
    <w:rsid w:val="00CF4593"/>
    <w:rsid w:val="00CF67B3"/>
    <w:rsid w:val="00D16F14"/>
    <w:rsid w:val="00D26EE0"/>
    <w:rsid w:val="00DA2C2E"/>
    <w:rsid w:val="00DC693B"/>
    <w:rsid w:val="00E01C02"/>
    <w:rsid w:val="00E25D8B"/>
    <w:rsid w:val="00E33646"/>
    <w:rsid w:val="00E728B8"/>
    <w:rsid w:val="00E74E02"/>
    <w:rsid w:val="00E87C6E"/>
    <w:rsid w:val="00EB694F"/>
    <w:rsid w:val="00ED76EB"/>
    <w:rsid w:val="00F30F92"/>
    <w:rsid w:val="00F5715B"/>
    <w:rsid w:val="00F63CD7"/>
    <w:rsid w:val="00F67641"/>
    <w:rsid w:val="00FB229D"/>
    <w:rsid w:val="00FB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82B6A"/>
  <w15:chartTrackingRefBased/>
  <w15:docId w15:val="{3C272B3D-F283-4373-8CFC-C3DC00CC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DFARS">
    <w:name w:val="DFARS"/>
    <w:basedOn w:val="Normal"/>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paragraph" w:styleId="BalloonText">
    <w:name w:val="Balloon Text"/>
    <w:basedOn w:val="Normal"/>
    <w:semiHidden/>
    <w:rsid w:val="00253489"/>
    <w:rPr>
      <w:rFonts w:ascii="Tahoma" w:hAnsi="Tahoma" w:cs="Tahoma"/>
      <w:sz w:val="16"/>
      <w:szCs w:val="16"/>
    </w:rPr>
  </w:style>
  <w:style w:type="character" w:styleId="Hyperlink">
    <w:name w:val="Hyperlink"/>
    <w:uiPriority w:val="99"/>
    <w:unhideWhenUsed/>
    <w:rsid w:val="00B44A47"/>
    <w:rPr>
      <w:color w:val="0000FF"/>
      <w:u w:val="single"/>
    </w:rPr>
  </w:style>
  <w:style w:type="table" w:styleId="TableGrid">
    <w:name w:val="Table Grid"/>
    <w:basedOn w:val="TableNormal"/>
    <w:uiPriority w:val="59"/>
    <w:rsid w:val="00851B7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15B"/>
    <w:pPr>
      <w:ind w:left="720"/>
      <w:contextualSpacing/>
    </w:pPr>
  </w:style>
  <w:style w:type="character" w:styleId="LineNumber">
    <w:name w:val="line number"/>
    <w:basedOn w:val="DefaultParagraphFont"/>
    <w:uiPriority w:val="99"/>
    <w:semiHidden/>
    <w:unhideWhenUsed/>
    <w:rsid w:val="00F5715B"/>
  </w:style>
  <w:style w:type="character" w:styleId="CommentReference">
    <w:name w:val="annotation reference"/>
    <w:basedOn w:val="DefaultParagraphFont"/>
    <w:uiPriority w:val="99"/>
    <w:semiHidden/>
    <w:unhideWhenUsed/>
    <w:rsid w:val="004062FF"/>
    <w:rPr>
      <w:sz w:val="16"/>
      <w:szCs w:val="16"/>
    </w:rPr>
  </w:style>
  <w:style w:type="paragraph" w:styleId="CommentText">
    <w:name w:val="annotation text"/>
    <w:basedOn w:val="Normal"/>
    <w:link w:val="CommentTextChar"/>
    <w:uiPriority w:val="99"/>
    <w:semiHidden/>
    <w:unhideWhenUsed/>
    <w:rsid w:val="004062FF"/>
    <w:rPr>
      <w:sz w:val="20"/>
    </w:rPr>
  </w:style>
  <w:style w:type="character" w:customStyle="1" w:styleId="CommentTextChar">
    <w:name w:val="Comment Text Char"/>
    <w:basedOn w:val="DefaultParagraphFont"/>
    <w:link w:val="CommentText"/>
    <w:uiPriority w:val="99"/>
    <w:semiHidden/>
    <w:rsid w:val="004062FF"/>
    <w:rPr>
      <w:b/>
    </w:rPr>
  </w:style>
  <w:style w:type="paragraph" w:styleId="CommentSubject">
    <w:name w:val="annotation subject"/>
    <w:basedOn w:val="CommentText"/>
    <w:next w:val="CommentText"/>
    <w:link w:val="CommentSubjectChar"/>
    <w:uiPriority w:val="99"/>
    <w:semiHidden/>
    <w:unhideWhenUsed/>
    <w:rsid w:val="004062FF"/>
    <w:rPr>
      <w:bCs/>
    </w:rPr>
  </w:style>
  <w:style w:type="character" w:customStyle="1" w:styleId="CommentSubjectChar">
    <w:name w:val="Comment Subject Char"/>
    <w:basedOn w:val="CommentTextChar"/>
    <w:link w:val="CommentSubject"/>
    <w:uiPriority w:val="99"/>
    <w:semiHidden/>
    <w:rsid w:val="004062FF"/>
    <w:rPr>
      <w:b/>
      <w:bCs/>
    </w:rPr>
  </w:style>
  <w:style w:type="paragraph" w:styleId="Revision">
    <w:name w:val="Revision"/>
    <w:hidden/>
    <w:uiPriority w:val="99"/>
    <w:semiHidden/>
    <w:rsid w:val="00564A1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asda/dpc/cp/cc/domestic-operation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cq.osd.mil/asda/dpc/cp/cc/international-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3EC7B-75B6-49FE-AB4B-ECC68889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PGI 213.2—ACTIONS AT OR BELOW THE MICRO-PURCHASE THRESHOLD</vt:lpstr>
    </vt:vector>
  </TitlesOfParts>
  <Company>DoD</Company>
  <LinksUpToDate>false</LinksUpToDate>
  <CharactersWithSpaces>3508</CharactersWithSpaces>
  <SharedDoc>false</SharedDoc>
  <HLinks>
    <vt:vector size="12" baseType="variant">
      <vt:variant>
        <vt:i4>7995402</vt:i4>
      </vt:variant>
      <vt:variant>
        <vt:i4>3</vt:i4>
      </vt:variant>
      <vt:variant>
        <vt:i4>0</vt:i4>
      </vt:variant>
      <vt:variant>
        <vt:i4>5</vt:i4>
      </vt:variant>
      <vt:variant>
        <vt:lpwstr>http://www.acq.osd.mil/dpap/pacc/cc/international_operations.html</vt:lpwstr>
      </vt:variant>
      <vt:variant>
        <vt:lpwstr/>
      </vt:variant>
      <vt:variant>
        <vt:i4>6160435</vt:i4>
      </vt:variant>
      <vt:variant>
        <vt:i4>0</vt:i4>
      </vt:variant>
      <vt:variant>
        <vt:i4>0</vt:i4>
      </vt:variant>
      <vt:variant>
        <vt:i4>5</vt:i4>
      </vt:variant>
      <vt:variant>
        <vt:lpwstr>http://www.acq.osd.mil/dpap/pacc/cc/domestic_emergencies.html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 213.2—ACTIONS AT OR BELOW THE MICRO-PURCHASE THRESHOLD</dc:title>
  <dc:subject/>
  <dc:creator>OUSD(A&amp;T)</dc:creator>
  <cp:keywords/>
  <cp:lastModifiedBy>Johnson, Jennifer D CIV OSD OUSD A-S (USA)</cp:lastModifiedBy>
  <cp:revision>3</cp:revision>
  <cp:lastPrinted>2011-09-13T23:54:00Z</cp:lastPrinted>
  <dcterms:created xsi:type="dcterms:W3CDTF">2023-07-31T13:57:00Z</dcterms:created>
  <dcterms:modified xsi:type="dcterms:W3CDTF">2023-07-31T13:58:00Z</dcterms:modified>
</cp:coreProperties>
</file>