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245C" w14:textId="7DF6ABB8" w:rsidR="005901B1" w:rsidRPr="00F5715B" w:rsidRDefault="005901B1" w:rsidP="005901B1">
      <w:pPr>
        <w:jc w:val="center"/>
        <w:outlineLvl w:val="3"/>
        <w:rPr>
          <w:rFonts w:ascii="Arial" w:hAnsi="Arial" w:cs="Arial"/>
          <w:b w:val="0"/>
          <w:bCs/>
          <w:szCs w:val="24"/>
        </w:rPr>
      </w:pPr>
      <w:bookmarkStart w:id="0" w:name="BM206_2"/>
      <w:r w:rsidRPr="00F5715B">
        <w:rPr>
          <w:rFonts w:ascii="Arial" w:hAnsi="Arial" w:cs="Arial"/>
          <w:bCs/>
          <w:szCs w:val="24"/>
        </w:rPr>
        <w:t>DFARS Case 202</w:t>
      </w:r>
      <w:r w:rsidR="000114EA">
        <w:rPr>
          <w:rFonts w:ascii="Arial" w:hAnsi="Arial" w:cs="Arial"/>
          <w:bCs/>
          <w:szCs w:val="24"/>
        </w:rPr>
        <w:t>3</w:t>
      </w:r>
      <w:r w:rsidRPr="00F5715B">
        <w:rPr>
          <w:rFonts w:ascii="Arial" w:hAnsi="Arial" w:cs="Arial"/>
          <w:bCs/>
          <w:szCs w:val="24"/>
        </w:rPr>
        <w:t>-P00</w:t>
      </w:r>
      <w:r w:rsidR="000114EA">
        <w:rPr>
          <w:rFonts w:ascii="Arial" w:hAnsi="Arial" w:cs="Arial"/>
          <w:bCs/>
          <w:szCs w:val="24"/>
        </w:rPr>
        <w:t>4</w:t>
      </w:r>
    </w:p>
    <w:p w14:paraId="1076C8F2" w14:textId="743B0BB7" w:rsidR="005901B1" w:rsidRPr="00F5715B" w:rsidRDefault="00155AA5" w:rsidP="005901B1">
      <w:pPr>
        <w:jc w:val="center"/>
        <w:outlineLvl w:val="3"/>
        <w:rPr>
          <w:rFonts w:ascii="Arial" w:hAnsi="Arial" w:cs="Arial"/>
          <w:b w:val="0"/>
          <w:szCs w:val="24"/>
          <w:shd w:val="clear" w:color="auto" w:fill="FFFFFF"/>
        </w:rPr>
      </w:pPr>
      <w:r w:rsidRPr="00155AA5">
        <w:rPr>
          <w:rFonts w:ascii="Arial" w:hAnsi="Arial" w:cs="Arial"/>
          <w:szCs w:val="24"/>
          <w:shd w:val="clear" w:color="auto" w:fill="FFFFFF"/>
        </w:rPr>
        <w:t>Procedures for Numbering of Modifications In Draft Status</w:t>
      </w:r>
    </w:p>
    <w:p w14:paraId="3807B87E" w14:textId="2FF4132B" w:rsidR="005901B1" w:rsidRPr="00F5715B" w:rsidRDefault="005901B1" w:rsidP="005901B1">
      <w:pPr>
        <w:jc w:val="center"/>
        <w:outlineLvl w:val="3"/>
        <w:rPr>
          <w:rFonts w:ascii="Arial" w:hAnsi="Arial" w:cs="Arial"/>
          <w:b w:val="0"/>
          <w:bCs/>
          <w:szCs w:val="24"/>
        </w:rPr>
      </w:pPr>
      <w:r w:rsidRPr="00F5715B">
        <w:rPr>
          <w:rFonts w:ascii="Arial" w:hAnsi="Arial" w:cs="Arial"/>
          <w:bCs/>
          <w:szCs w:val="24"/>
        </w:rPr>
        <w:t>PGI Text</w:t>
      </w:r>
    </w:p>
    <w:p w14:paraId="20D4E735" w14:textId="363299C9" w:rsidR="0032214C" w:rsidRPr="005901B1" w:rsidRDefault="0032214C" w:rsidP="0032214C">
      <w:pPr>
        <w:pStyle w:val="DFARS"/>
        <w:rPr>
          <w:rFonts w:ascii="Arial" w:hAnsi="Arial" w:cs="Arial"/>
          <w:bCs/>
          <w:szCs w:val="24"/>
        </w:rPr>
      </w:pPr>
    </w:p>
    <w:p w14:paraId="4E4292CE" w14:textId="77777777" w:rsidR="005901B1" w:rsidRPr="005901B1" w:rsidRDefault="005901B1" w:rsidP="0032214C">
      <w:pPr>
        <w:pStyle w:val="DFARS"/>
        <w:rPr>
          <w:rFonts w:ascii="Arial" w:hAnsi="Arial" w:cs="Arial"/>
          <w:bCs/>
          <w:szCs w:val="24"/>
        </w:rPr>
      </w:pPr>
    </w:p>
    <w:p w14:paraId="22B69277" w14:textId="0E69A404" w:rsidR="0016611A" w:rsidRDefault="0016611A" w:rsidP="0032214C">
      <w:pPr>
        <w:tabs>
          <w:tab w:val="clear" w:pos="1000"/>
          <w:tab w:val="left" w:pos="360"/>
        </w:tabs>
        <w:spacing w:line="240" w:lineRule="exact"/>
        <w:ind w:left="0" w:firstLine="0"/>
        <w:rPr>
          <w:rFonts w:ascii="Arial" w:eastAsia="Calibri" w:hAnsi="Arial" w:cs="Arial"/>
          <w:szCs w:val="24"/>
        </w:rPr>
      </w:pPr>
      <w:r w:rsidRPr="0016611A">
        <w:rPr>
          <w:rFonts w:ascii="Arial" w:eastAsia="Calibri" w:hAnsi="Arial" w:cs="Arial"/>
          <w:szCs w:val="24"/>
        </w:rPr>
        <w:t>PGI 204.16—UNIFORM PROCUREMENT INSTRUMENT IDENTIFIERS</w:t>
      </w:r>
    </w:p>
    <w:p w14:paraId="05C5F277" w14:textId="77777777" w:rsidR="000260FF" w:rsidRPr="0016611A" w:rsidRDefault="000260FF" w:rsidP="0032214C">
      <w:pPr>
        <w:tabs>
          <w:tab w:val="clear" w:pos="1000"/>
          <w:tab w:val="left" w:pos="360"/>
        </w:tabs>
        <w:spacing w:line="240" w:lineRule="exact"/>
        <w:ind w:left="0" w:firstLine="0"/>
        <w:rPr>
          <w:rFonts w:ascii="Arial" w:eastAsia="Calibri" w:hAnsi="Arial" w:cs="Arial"/>
          <w:szCs w:val="24"/>
        </w:rPr>
      </w:pPr>
    </w:p>
    <w:p w14:paraId="178A919E" w14:textId="41E6FCF6" w:rsidR="0016611A" w:rsidRPr="005901B1" w:rsidRDefault="005901B1" w:rsidP="0032214C">
      <w:pPr>
        <w:pStyle w:val="DFARS"/>
        <w:rPr>
          <w:rFonts w:ascii="Arial" w:eastAsia="Calibri" w:hAnsi="Arial" w:cs="Arial"/>
        </w:rPr>
      </w:pPr>
      <w:r w:rsidRPr="005901B1">
        <w:rPr>
          <w:rFonts w:ascii="Arial" w:eastAsia="Calibri" w:hAnsi="Arial" w:cs="Arial"/>
        </w:rPr>
        <w:t xml:space="preserve">* * * * * </w:t>
      </w:r>
    </w:p>
    <w:p w14:paraId="2575B39F" w14:textId="77777777" w:rsidR="005901B1" w:rsidRPr="005901B1" w:rsidRDefault="005901B1" w:rsidP="0032214C">
      <w:pPr>
        <w:pStyle w:val="DFARS"/>
        <w:rPr>
          <w:rFonts w:ascii="Arial" w:eastAsia="Calibri" w:hAnsi="Arial"/>
          <w:bCs/>
        </w:rPr>
      </w:pPr>
    </w:p>
    <w:p w14:paraId="4E2D365F" w14:textId="293D0857" w:rsidR="0016611A" w:rsidRPr="0016611A" w:rsidRDefault="0016611A" w:rsidP="0032214C">
      <w:pPr>
        <w:pStyle w:val="DFARS"/>
        <w:rPr>
          <w:rFonts w:ascii="Arial" w:eastAsia="Calibri" w:hAnsi="Arial"/>
        </w:rPr>
      </w:pPr>
      <w:r w:rsidRPr="0016611A">
        <w:rPr>
          <w:rFonts w:ascii="Arial" w:eastAsia="Calibri" w:hAnsi="Arial"/>
          <w:b/>
        </w:rPr>
        <w:t>PGI 204.1603  Procedures</w:t>
      </w:r>
      <w:r w:rsidRPr="0016611A">
        <w:rPr>
          <w:rFonts w:ascii="Arial" w:eastAsia="Calibri" w:hAnsi="Arial"/>
        </w:rPr>
        <w:t>.</w:t>
      </w:r>
    </w:p>
    <w:p w14:paraId="378BB8B3" w14:textId="77777777" w:rsidR="0016611A" w:rsidRPr="0016611A" w:rsidRDefault="0016611A" w:rsidP="0032214C">
      <w:pPr>
        <w:pStyle w:val="DFARS"/>
        <w:rPr>
          <w:rFonts w:ascii="Arial" w:eastAsia="Calibri" w:hAnsi="Arial"/>
        </w:rPr>
      </w:pPr>
    </w:p>
    <w:p w14:paraId="06396ADF" w14:textId="102CC88E" w:rsidR="0016611A" w:rsidRPr="0016611A" w:rsidRDefault="0016611A" w:rsidP="0032214C">
      <w:pPr>
        <w:pStyle w:val="DFARS"/>
        <w:rPr>
          <w:rFonts w:ascii="Arial" w:eastAsia="Calibri" w:hAnsi="Arial"/>
        </w:rPr>
      </w:pPr>
      <w:r w:rsidRPr="0016611A">
        <w:rPr>
          <w:rFonts w:ascii="Arial" w:eastAsia="Calibri" w:hAnsi="Arial"/>
        </w:rPr>
        <w:tab/>
        <w:t>(a)(3)(A)(</w:t>
      </w:r>
      <w:r w:rsidRPr="009C053C">
        <w:rPr>
          <w:rFonts w:ascii="Arial" w:eastAsia="Calibri" w:hAnsi="Arial"/>
          <w:i/>
        </w:rPr>
        <w:t>3</w:t>
      </w:r>
      <w:r w:rsidRPr="0016611A">
        <w:rPr>
          <w:rFonts w:ascii="Arial" w:eastAsia="Calibri" w:hAnsi="Arial"/>
        </w:rPr>
        <w:t>)  Legacy contract writing systems authorized to use the letter T in position 9 of the PIID for automated requests for quotation include the following:</w:t>
      </w:r>
    </w:p>
    <w:p w14:paraId="63C59732" w14:textId="77777777" w:rsidR="0016611A" w:rsidRPr="0016611A" w:rsidRDefault="0016611A" w:rsidP="0032214C">
      <w:pPr>
        <w:pStyle w:val="DFARS"/>
        <w:rPr>
          <w:rFonts w:ascii="Arial" w:eastAsia="Calibri" w:hAnsi="Arial"/>
        </w:rPr>
      </w:pPr>
    </w:p>
    <w:p w14:paraId="2E463D1F" w14:textId="77777777" w:rsidR="0016611A" w:rsidRPr="0016611A" w:rsidRDefault="0016611A" w:rsidP="0032214C">
      <w:pPr>
        <w:pStyle w:val="DFARS"/>
        <w:rPr>
          <w:rFonts w:ascii="Arial" w:eastAsia="Calibri" w:hAnsi="Arial"/>
        </w:rPr>
      </w:pP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  <w:t>(</w:t>
      </w:r>
      <w:r w:rsidRPr="009C053C">
        <w:rPr>
          <w:rFonts w:ascii="Arial" w:eastAsia="Calibri" w:hAnsi="Arial"/>
          <w:i/>
        </w:rPr>
        <w:t>i</w:t>
      </w:r>
      <w:r w:rsidRPr="0016611A">
        <w:rPr>
          <w:rFonts w:ascii="Arial" w:eastAsia="Calibri" w:hAnsi="Arial"/>
        </w:rPr>
        <w:t>)  Department of Navy’s Item Management and Procurement (ITIMP) system.</w:t>
      </w:r>
    </w:p>
    <w:p w14:paraId="57A38D93" w14:textId="77777777" w:rsidR="0016611A" w:rsidRPr="0016611A" w:rsidRDefault="0016611A" w:rsidP="0032214C">
      <w:pPr>
        <w:pStyle w:val="DFARS"/>
        <w:rPr>
          <w:rFonts w:ascii="Arial" w:eastAsia="Calibri" w:hAnsi="Arial"/>
        </w:rPr>
      </w:pPr>
    </w:p>
    <w:p w14:paraId="387B2CE6" w14:textId="77777777" w:rsidR="0016611A" w:rsidRPr="0016611A" w:rsidRDefault="0016611A" w:rsidP="0032214C">
      <w:pPr>
        <w:pStyle w:val="DFARS"/>
        <w:rPr>
          <w:rFonts w:ascii="Arial" w:eastAsia="Calibri" w:hAnsi="Arial"/>
        </w:rPr>
      </w:pP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</w:r>
      <w:r w:rsidRPr="0016611A">
        <w:rPr>
          <w:rFonts w:ascii="Arial" w:eastAsia="Calibri" w:hAnsi="Arial"/>
        </w:rPr>
        <w:tab/>
        <w:t>(</w:t>
      </w:r>
      <w:r w:rsidRPr="009C053C">
        <w:rPr>
          <w:rFonts w:ascii="Arial" w:eastAsia="Calibri" w:hAnsi="Arial"/>
          <w:i/>
        </w:rPr>
        <w:t>ii</w:t>
      </w:r>
      <w:r w:rsidRPr="0016611A">
        <w:rPr>
          <w:rFonts w:ascii="Arial" w:eastAsia="Calibri" w:hAnsi="Arial"/>
        </w:rPr>
        <w:t>)  Defense Logistics Agency’s Enterprise Business System (EBS).</w:t>
      </w:r>
    </w:p>
    <w:bookmarkEnd w:id="0"/>
    <w:p w14:paraId="68764DFE" w14:textId="38780B7C" w:rsidR="0016611A" w:rsidRDefault="0016611A" w:rsidP="0032214C">
      <w:pPr>
        <w:pStyle w:val="DFARS"/>
        <w:rPr>
          <w:rFonts w:ascii="Arial" w:eastAsia="Calibri" w:hAnsi="Arial"/>
        </w:rPr>
      </w:pPr>
    </w:p>
    <w:p w14:paraId="705D644B" w14:textId="5197D8B7" w:rsidR="005901B1" w:rsidRDefault="005901B1" w:rsidP="0032214C">
      <w:pPr>
        <w:pStyle w:val="DFARS"/>
        <w:rPr>
          <w:rFonts w:ascii="Arial" w:eastAsia="Calibri" w:hAnsi="Arial"/>
        </w:rPr>
      </w:pPr>
      <w:r>
        <w:rPr>
          <w:rFonts w:ascii="Arial" w:eastAsia="Calibri" w:hAnsi="Arial"/>
        </w:rPr>
        <w:tab/>
      </w:r>
      <w:r>
        <w:rPr>
          <w:rFonts w:ascii="Arial" w:eastAsia="Calibri" w:hAnsi="Arial"/>
        </w:rPr>
        <w:tab/>
      </w:r>
      <w:r w:rsidRPr="005901B1">
        <w:rPr>
          <w:rFonts w:ascii="Arial" w:eastAsia="Calibri" w:hAnsi="Arial"/>
          <w:b/>
          <w:bCs/>
        </w:rPr>
        <w:t xml:space="preserve">[(4)  </w:t>
      </w:r>
      <w:r w:rsidR="00E300AF" w:rsidRPr="00C15C74">
        <w:rPr>
          <w:rFonts w:ascii="Arial" w:eastAsia="Calibri" w:hAnsi="Arial"/>
          <w:b/>
          <w:bCs/>
          <w:i/>
          <w:iCs/>
        </w:rPr>
        <w:t>Positions 10 through 17.</w:t>
      </w:r>
      <w:r w:rsidR="00E300AF">
        <w:rPr>
          <w:rFonts w:ascii="Arial" w:eastAsia="Calibri" w:hAnsi="Arial"/>
          <w:b/>
          <w:bCs/>
        </w:rPr>
        <w:t xml:space="preserve">  </w:t>
      </w:r>
      <w:r w:rsidR="000E7E48">
        <w:rPr>
          <w:rFonts w:ascii="Arial" w:eastAsia="Calibri" w:hAnsi="Arial"/>
          <w:b/>
          <w:bCs/>
        </w:rPr>
        <w:t xml:space="preserve">Positions 10 through 13 </w:t>
      </w:r>
      <w:r w:rsidR="003E77DD">
        <w:rPr>
          <w:rFonts w:ascii="Arial" w:eastAsia="Calibri" w:hAnsi="Arial"/>
          <w:b/>
          <w:bCs/>
        </w:rPr>
        <w:t xml:space="preserve">of a DoD-issued PIID </w:t>
      </w:r>
      <w:r w:rsidR="000E7E48">
        <w:rPr>
          <w:rFonts w:ascii="Arial" w:eastAsia="Calibri" w:hAnsi="Arial"/>
          <w:b/>
          <w:bCs/>
        </w:rPr>
        <w:t xml:space="preserve">shall not be </w:t>
      </w:r>
      <w:r w:rsidR="00044FEF">
        <w:rPr>
          <w:rFonts w:ascii="Arial" w:eastAsia="Calibri" w:hAnsi="Arial"/>
          <w:b/>
          <w:bCs/>
        </w:rPr>
        <w:t>a sequence of four zeroes (</w:t>
      </w:r>
      <w:r w:rsidR="00E300AF">
        <w:rPr>
          <w:rFonts w:ascii="Arial" w:eastAsia="Calibri" w:hAnsi="Arial"/>
          <w:b/>
          <w:bCs/>
        </w:rPr>
        <w:t>i.</w:t>
      </w:r>
      <w:r w:rsidR="00044FEF">
        <w:rPr>
          <w:rFonts w:ascii="Arial" w:eastAsia="Calibri" w:hAnsi="Arial"/>
          <w:b/>
          <w:bCs/>
        </w:rPr>
        <w:t>e.</w:t>
      </w:r>
      <w:r w:rsidR="00E300AF">
        <w:rPr>
          <w:rFonts w:ascii="Arial" w:eastAsia="Calibri" w:hAnsi="Arial"/>
          <w:b/>
          <w:bCs/>
        </w:rPr>
        <w:t>,</w:t>
      </w:r>
      <w:r w:rsidR="00044FEF">
        <w:rPr>
          <w:rFonts w:ascii="Arial" w:eastAsia="Calibri" w:hAnsi="Arial"/>
          <w:b/>
          <w:bCs/>
        </w:rPr>
        <w:t xml:space="preserve"> </w:t>
      </w:r>
      <w:r w:rsidR="0007151E">
        <w:rPr>
          <w:rFonts w:ascii="Arial" w:eastAsia="Calibri" w:hAnsi="Arial"/>
          <w:b/>
          <w:bCs/>
        </w:rPr>
        <w:t>“</w:t>
      </w:r>
      <w:r w:rsidR="00044FEF">
        <w:rPr>
          <w:rFonts w:ascii="Arial" w:eastAsia="Calibri" w:hAnsi="Arial"/>
          <w:b/>
          <w:bCs/>
        </w:rPr>
        <w:t>0000</w:t>
      </w:r>
      <w:r w:rsidR="0007151E">
        <w:rPr>
          <w:rFonts w:ascii="Arial" w:eastAsia="Calibri" w:hAnsi="Arial"/>
          <w:b/>
          <w:bCs/>
        </w:rPr>
        <w:t>”</w:t>
      </w:r>
      <w:r w:rsidR="00044FEF">
        <w:rPr>
          <w:rFonts w:ascii="Arial" w:eastAsia="Calibri" w:hAnsi="Arial"/>
          <w:b/>
          <w:bCs/>
        </w:rPr>
        <w:t>)</w:t>
      </w:r>
      <w:r w:rsidRPr="005901B1">
        <w:rPr>
          <w:rFonts w:ascii="Arial" w:eastAsia="Calibri" w:hAnsi="Arial"/>
          <w:b/>
          <w:bCs/>
        </w:rPr>
        <w:t>.]</w:t>
      </w:r>
    </w:p>
    <w:p w14:paraId="5015D6A1" w14:textId="680B598B" w:rsidR="008B36EE" w:rsidRDefault="008B36EE" w:rsidP="0032214C">
      <w:pPr>
        <w:pStyle w:val="DFARS"/>
        <w:rPr>
          <w:rFonts w:ascii="Arial" w:eastAsia="Calibri" w:hAnsi="Arial"/>
        </w:rPr>
      </w:pPr>
    </w:p>
    <w:p w14:paraId="16770C68" w14:textId="7FB6BA41" w:rsidR="008B36EE" w:rsidRDefault="008B36EE" w:rsidP="008B36EE">
      <w:pPr>
        <w:pStyle w:val="DFARS"/>
        <w:rPr>
          <w:rFonts w:ascii="Arial" w:eastAsia="Calibri" w:hAnsi="Arial"/>
        </w:rPr>
      </w:pPr>
      <w:r w:rsidRPr="008B36EE">
        <w:rPr>
          <w:rFonts w:ascii="Arial" w:eastAsia="Calibri" w:hAnsi="Arial"/>
          <w:b/>
        </w:rPr>
        <w:t>*</w:t>
      </w:r>
      <w:r>
        <w:rPr>
          <w:rFonts w:ascii="Arial" w:eastAsia="Calibri" w:hAnsi="Arial"/>
        </w:rPr>
        <w:t xml:space="preserve"> * * * *</w:t>
      </w:r>
    </w:p>
    <w:p w14:paraId="201451EA" w14:textId="77777777" w:rsidR="008B36EE" w:rsidRDefault="008B36EE" w:rsidP="008B36EE">
      <w:pPr>
        <w:pStyle w:val="DFARS"/>
        <w:rPr>
          <w:rFonts w:ascii="Arial" w:eastAsia="Calibri" w:hAnsi="Arial"/>
        </w:rPr>
      </w:pPr>
    </w:p>
    <w:p w14:paraId="796D07C3" w14:textId="4961C85C" w:rsidR="008B36EE" w:rsidRDefault="008B36EE" w:rsidP="008B36EE">
      <w:pPr>
        <w:pStyle w:val="DFARS"/>
        <w:rPr>
          <w:rFonts w:ascii="Arial" w:eastAsia="Calibri" w:hAnsi="Arial"/>
        </w:rPr>
      </w:pPr>
      <w:r w:rsidRPr="0016611A">
        <w:rPr>
          <w:rFonts w:ascii="Arial" w:eastAsia="Calibri" w:hAnsi="Arial"/>
        </w:rPr>
        <w:tab/>
        <w:t xml:space="preserve">(b)  </w:t>
      </w:r>
      <w:r w:rsidRPr="00C15C74">
        <w:rPr>
          <w:rFonts w:ascii="Arial" w:eastAsia="Calibri" w:hAnsi="Arial"/>
          <w:i/>
          <w:iCs/>
        </w:rPr>
        <w:t>Elements of a supplementary PIID.</w:t>
      </w:r>
    </w:p>
    <w:p w14:paraId="5287E28D" w14:textId="77777777" w:rsidR="008B36EE" w:rsidRPr="0016611A" w:rsidRDefault="008B36EE" w:rsidP="008B36EE">
      <w:pPr>
        <w:pStyle w:val="DFARS"/>
        <w:rPr>
          <w:rFonts w:ascii="Arial" w:eastAsia="Calibri" w:hAnsi="Arial"/>
        </w:rPr>
      </w:pPr>
    </w:p>
    <w:p w14:paraId="4C88EECE" w14:textId="0A281C9E" w:rsidR="003450D7" w:rsidRDefault="008B36EE" w:rsidP="008B36EE">
      <w:pPr>
        <w:pStyle w:val="DFARS"/>
        <w:rPr>
          <w:rFonts w:ascii="Arial" w:eastAsia="Calibri" w:hAnsi="Arial"/>
          <w:b/>
          <w:bCs/>
        </w:rPr>
      </w:pPr>
      <w:r w:rsidRPr="008B36EE">
        <w:rPr>
          <w:rFonts w:ascii="Arial" w:eastAsia="Calibri" w:hAnsi="Arial"/>
        </w:rPr>
        <w:tab/>
      </w:r>
      <w:r w:rsidRPr="008B36EE">
        <w:rPr>
          <w:rFonts w:ascii="Arial" w:eastAsia="Calibri" w:hAnsi="Arial"/>
        </w:rPr>
        <w:tab/>
      </w:r>
      <w:r w:rsidRPr="008B36EE">
        <w:rPr>
          <w:rFonts w:ascii="Arial" w:eastAsia="Calibri" w:hAnsi="Arial"/>
          <w:b/>
          <w:bCs/>
        </w:rPr>
        <w:t>[(</w:t>
      </w:r>
      <w:r w:rsidR="009F720F">
        <w:rPr>
          <w:rFonts w:ascii="Arial" w:eastAsia="Calibri" w:hAnsi="Arial"/>
          <w:b/>
          <w:bCs/>
        </w:rPr>
        <w:t>1</w:t>
      </w:r>
      <w:r w:rsidRPr="008B36EE">
        <w:rPr>
          <w:rFonts w:ascii="Arial" w:eastAsia="Calibri" w:hAnsi="Arial"/>
          <w:b/>
          <w:bCs/>
        </w:rPr>
        <w:t xml:space="preserve">)  </w:t>
      </w:r>
      <w:r w:rsidR="009F720F" w:rsidRPr="00C15C74">
        <w:rPr>
          <w:rFonts w:ascii="Arial" w:eastAsia="Calibri" w:hAnsi="Arial"/>
          <w:b/>
          <w:bCs/>
          <w:i/>
          <w:iCs/>
        </w:rPr>
        <w:t>Position 1</w:t>
      </w:r>
      <w:r w:rsidR="009F720F">
        <w:rPr>
          <w:rFonts w:ascii="Arial" w:eastAsia="Calibri" w:hAnsi="Arial"/>
          <w:b/>
          <w:bCs/>
        </w:rPr>
        <w:t xml:space="preserve">. </w:t>
      </w:r>
      <w:r w:rsidR="00B36258">
        <w:rPr>
          <w:rFonts w:ascii="Arial" w:eastAsia="Calibri" w:hAnsi="Arial"/>
          <w:b/>
          <w:bCs/>
        </w:rPr>
        <w:t xml:space="preserve"> </w:t>
      </w:r>
      <w:r w:rsidR="00B14A9C">
        <w:rPr>
          <w:rFonts w:ascii="Arial" w:eastAsia="Calibri" w:hAnsi="Arial"/>
          <w:b/>
          <w:bCs/>
        </w:rPr>
        <w:t>U</w:t>
      </w:r>
      <w:r w:rsidR="003450D7">
        <w:rPr>
          <w:rFonts w:ascii="Arial" w:eastAsia="Calibri" w:hAnsi="Arial"/>
          <w:b/>
          <w:bCs/>
        </w:rPr>
        <w:t xml:space="preserve">se a “U” in </w:t>
      </w:r>
      <w:r w:rsidR="00D51656">
        <w:rPr>
          <w:rFonts w:ascii="Arial" w:eastAsia="Calibri" w:hAnsi="Arial"/>
          <w:b/>
          <w:bCs/>
        </w:rPr>
        <w:t xml:space="preserve"> position</w:t>
      </w:r>
      <w:r w:rsidR="009F720F">
        <w:rPr>
          <w:rFonts w:ascii="Arial" w:eastAsia="Calibri" w:hAnsi="Arial"/>
          <w:b/>
          <w:bCs/>
        </w:rPr>
        <w:t xml:space="preserve"> 1</w:t>
      </w:r>
      <w:r w:rsidR="00D51656">
        <w:rPr>
          <w:rFonts w:ascii="Arial" w:eastAsia="Calibri" w:hAnsi="Arial"/>
          <w:b/>
          <w:bCs/>
        </w:rPr>
        <w:t xml:space="preserve"> </w:t>
      </w:r>
      <w:r w:rsidR="00D51656" w:rsidRPr="008B36EE">
        <w:rPr>
          <w:rFonts w:ascii="Arial" w:eastAsia="Calibri" w:hAnsi="Arial"/>
          <w:b/>
          <w:bCs/>
        </w:rPr>
        <w:t>(e.g., “U00001”)</w:t>
      </w:r>
      <w:r w:rsidR="00D51656">
        <w:rPr>
          <w:rFonts w:ascii="Arial" w:eastAsia="Calibri" w:hAnsi="Arial"/>
          <w:b/>
          <w:bCs/>
        </w:rPr>
        <w:t xml:space="preserve"> </w:t>
      </w:r>
      <w:r w:rsidR="00D51656" w:rsidRPr="008B36EE">
        <w:rPr>
          <w:rFonts w:ascii="Arial" w:eastAsia="Calibri" w:hAnsi="Arial"/>
          <w:b/>
          <w:bCs/>
        </w:rPr>
        <w:t xml:space="preserve">in lieu of </w:t>
      </w:r>
      <w:r w:rsidR="00D51656">
        <w:rPr>
          <w:rFonts w:ascii="Arial" w:eastAsia="Calibri" w:hAnsi="Arial"/>
          <w:b/>
          <w:bCs/>
        </w:rPr>
        <w:t>an</w:t>
      </w:r>
      <w:r w:rsidR="00D51656" w:rsidRPr="008B36EE">
        <w:rPr>
          <w:rFonts w:ascii="Arial" w:eastAsia="Calibri" w:hAnsi="Arial"/>
          <w:b/>
          <w:bCs/>
        </w:rPr>
        <w:t xml:space="preserve"> “A” or “P”</w:t>
      </w:r>
      <w:r w:rsidR="00503630">
        <w:rPr>
          <w:rFonts w:ascii="Arial" w:eastAsia="Calibri" w:hAnsi="Arial"/>
          <w:b/>
          <w:bCs/>
        </w:rPr>
        <w:t>, as necessary,</w:t>
      </w:r>
      <w:r w:rsidR="00D51656">
        <w:rPr>
          <w:rFonts w:ascii="Arial" w:eastAsia="Calibri" w:hAnsi="Arial"/>
          <w:b/>
          <w:bCs/>
        </w:rPr>
        <w:t xml:space="preserve"> to process draft modifications through contract writing systems and associated applications.  </w:t>
      </w:r>
      <w:r w:rsidR="009F720F">
        <w:rPr>
          <w:rFonts w:ascii="Arial" w:eastAsia="Calibri" w:hAnsi="Arial"/>
          <w:b/>
          <w:bCs/>
        </w:rPr>
        <w:t>Change</w:t>
      </w:r>
      <w:r w:rsidR="00D51656">
        <w:rPr>
          <w:rFonts w:ascii="Arial" w:eastAsia="Calibri" w:hAnsi="Arial"/>
          <w:b/>
          <w:bCs/>
        </w:rPr>
        <w:t xml:space="preserve"> the </w:t>
      </w:r>
      <w:r w:rsidR="00B36258">
        <w:rPr>
          <w:rFonts w:ascii="Arial" w:eastAsia="Calibri" w:hAnsi="Arial"/>
          <w:b/>
          <w:bCs/>
        </w:rPr>
        <w:t xml:space="preserve">“U” </w:t>
      </w:r>
      <w:r w:rsidR="008F1443">
        <w:rPr>
          <w:rFonts w:ascii="Arial" w:eastAsia="Calibri" w:hAnsi="Arial"/>
          <w:b/>
          <w:bCs/>
        </w:rPr>
        <w:t>to an “A” or “P” prior to award to comply with FAR and DFARS standards.]</w:t>
      </w:r>
    </w:p>
    <w:p w14:paraId="6ADD261C" w14:textId="413F76A3" w:rsidR="009F720F" w:rsidRDefault="009F720F" w:rsidP="008B36EE">
      <w:pPr>
        <w:pStyle w:val="DFARS"/>
        <w:rPr>
          <w:rFonts w:ascii="Arial" w:eastAsia="Calibri" w:hAnsi="Arial"/>
          <w:b/>
          <w:bCs/>
        </w:rPr>
      </w:pPr>
    </w:p>
    <w:p w14:paraId="3AB71E89" w14:textId="49C4AD11" w:rsidR="009F720F" w:rsidRPr="00C15C74" w:rsidRDefault="009F720F" w:rsidP="008B36EE">
      <w:pPr>
        <w:pStyle w:val="DFARS"/>
        <w:rPr>
          <w:rFonts w:ascii="Arial" w:eastAsia="Calibri" w:hAnsi="Arial"/>
        </w:rPr>
      </w:pPr>
      <w:r>
        <w:rPr>
          <w:rFonts w:ascii="Arial" w:eastAsia="Calibri" w:hAnsi="Arial"/>
          <w:b/>
          <w:bCs/>
        </w:rPr>
        <w:tab/>
      </w:r>
      <w:r>
        <w:rPr>
          <w:rFonts w:ascii="Arial" w:eastAsia="Calibri" w:hAnsi="Arial"/>
          <w:b/>
          <w:bCs/>
        </w:rPr>
        <w:tab/>
      </w:r>
      <w:r w:rsidRPr="00C15C74">
        <w:rPr>
          <w:rFonts w:ascii="Arial" w:eastAsia="Calibri" w:hAnsi="Arial"/>
        </w:rPr>
        <w:t>(</w:t>
      </w:r>
      <w:r w:rsidRPr="00C15C74">
        <w:rPr>
          <w:rFonts w:ascii="Arial" w:eastAsia="Calibri" w:hAnsi="Arial"/>
          <w:strike/>
        </w:rPr>
        <w:t>1</w:t>
      </w:r>
      <w:r>
        <w:rPr>
          <w:rFonts w:ascii="Arial" w:eastAsia="Calibri" w:hAnsi="Arial"/>
          <w:b/>
          <w:bCs/>
        </w:rPr>
        <w:t>[2]</w:t>
      </w:r>
      <w:r w:rsidRPr="00C15C74">
        <w:rPr>
          <w:rFonts w:ascii="Arial" w:eastAsia="Calibri" w:hAnsi="Arial"/>
        </w:rPr>
        <w:t xml:space="preserve">)  </w:t>
      </w:r>
      <w:r w:rsidR="00B36258">
        <w:rPr>
          <w:rFonts w:ascii="Arial" w:eastAsia="Calibri" w:hAnsi="Arial"/>
          <w:b/>
          <w:bCs/>
        </w:rPr>
        <w:t>[</w:t>
      </w:r>
      <w:r w:rsidRPr="00C15C74">
        <w:rPr>
          <w:rFonts w:ascii="Arial" w:eastAsia="Calibri" w:hAnsi="Arial"/>
          <w:b/>
          <w:bCs/>
          <w:i/>
          <w:iCs/>
        </w:rPr>
        <w:t xml:space="preserve">Positions 2 </w:t>
      </w:r>
      <w:r w:rsidR="00B36258">
        <w:rPr>
          <w:rFonts w:ascii="Arial" w:eastAsia="Calibri" w:hAnsi="Arial"/>
          <w:b/>
          <w:bCs/>
          <w:i/>
          <w:iCs/>
        </w:rPr>
        <w:t>through 6.</w:t>
      </w:r>
      <w:r w:rsidR="00B36258" w:rsidRPr="00C15C74">
        <w:rPr>
          <w:rFonts w:ascii="Arial" w:eastAsia="Calibri" w:hAnsi="Arial"/>
          <w:b/>
          <w:bCs/>
        </w:rPr>
        <w:t>]</w:t>
      </w:r>
      <w:r w:rsidRPr="00C15C74">
        <w:rPr>
          <w:rFonts w:ascii="Arial" w:eastAsia="Calibri" w:hAnsi="Arial"/>
        </w:rPr>
        <w:t xml:space="preserve">  </w:t>
      </w:r>
      <w:r w:rsidR="00B36258" w:rsidRPr="00C15C74">
        <w:rPr>
          <w:rFonts w:ascii="Arial" w:eastAsia="Calibri" w:hAnsi="Arial"/>
        </w:rPr>
        <w:t>Ex</w:t>
      </w:r>
      <w:r w:rsidR="00F843A9" w:rsidRPr="00C15C74">
        <w:rPr>
          <w:rFonts w:ascii="Arial" w:eastAsia="Calibri" w:hAnsi="Arial"/>
        </w:rPr>
        <w:t xml:space="preserve">amples of proper numbering for positions </w:t>
      </w:r>
      <w:r w:rsidR="00F843A9" w:rsidRPr="000D559B">
        <w:rPr>
          <w:rFonts w:ascii="Arial" w:eastAsia="Calibri" w:hAnsi="Arial"/>
          <w:strike/>
        </w:rPr>
        <w:t>2-6</w:t>
      </w:r>
      <w:r w:rsidR="000D559B" w:rsidRPr="000D559B">
        <w:rPr>
          <w:rFonts w:ascii="Arial" w:eastAsia="Calibri" w:hAnsi="Arial"/>
          <w:b/>
          <w:bCs/>
        </w:rPr>
        <w:t>[2 through 6]</w:t>
      </w:r>
      <w:r w:rsidR="00F843A9">
        <w:rPr>
          <w:rFonts w:ascii="Arial" w:eastAsia="Calibri" w:hAnsi="Arial"/>
          <w:b/>
          <w:bCs/>
        </w:rPr>
        <w:t xml:space="preserve"> </w:t>
      </w:r>
      <w:r w:rsidR="00F843A9" w:rsidRPr="00C15C74">
        <w:rPr>
          <w:rFonts w:ascii="Arial" w:eastAsia="Calibri" w:hAnsi="Arial"/>
          <w:strike/>
        </w:rPr>
        <w:t>(the first position will be either A or P)</w:t>
      </w:r>
      <w:r w:rsidR="00F843A9" w:rsidRPr="00C15C74">
        <w:rPr>
          <w:rFonts w:ascii="Arial" w:eastAsia="Calibri" w:hAnsi="Arial"/>
        </w:rPr>
        <w:t xml:space="preserve"> are as follows:  </w:t>
      </w:r>
      <w:r w:rsidRPr="00C15C74">
        <w:rPr>
          <w:rFonts w:ascii="Arial" w:eastAsia="Calibri" w:hAnsi="Arial"/>
        </w:rPr>
        <w:t>* * *</w:t>
      </w:r>
    </w:p>
    <w:p w14:paraId="40B7593D" w14:textId="53199A94" w:rsidR="009F720F" w:rsidRDefault="009F720F" w:rsidP="008B36EE">
      <w:pPr>
        <w:pStyle w:val="DFARS"/>
        <w:rPr>
          <w:rFonts w:ascii="Arial" w:eastAsia="Calibri" w:hAnsi="Arial"/>
          <w:b/>
          <w:bCs/>
        </w:rPr>
      </w:pPr>
    </w:p>
    <w:p w14:paraId="184C06CB" w14:textId="2F4657EF" w:rsidR="009F720F" w:rsidRPr="00C15C74" w:rsidRDefault="009F720F" w:rsidP="008B36EE">
      <w:pPr>
        <w:pStyle w:val="DFARS"/>
        <w:rPr>
          <w:rFonts w:ascii="Arial" w:eastAsia="Calibri" w:hAnsi="Arial"/>
        </w:rPr>
      </w:pPr>
      <w:r w:rsidRPr="00C15C74">
        <w:rPr>
          <w:rFonts w:ascii="Arial" w:eastAsia="Calibri" w:hAnsi="Arial"/>
        </w:rPr>
        <w:tab/>
      </w:r>
      <w:r w:rsidRPr="00C15C74">
        <w:rPr>
          <w:rFonts w:ascii="Arial" w:eastAsia="Calibri" w:hAnsi="Arial"/>
        </w:rPr>
        <w:tab/>
        <w:t>(</w:t>
      </w:r>
      <w:r w:rsidRPr="00C15C74">
        <w:rPr>
          <w:rFonts w:ascii="Arial" w:eastAsia="Calibri" w:hAnsi="Arial"/>
          <w:strike/>
        </w:rPr>
        <w:t>2</w:t>
      </w:r>
      <w:r w:rsidRPr="00C15C74">
        <w:rPr>
          <w:rFonts w:ascii="Arial" w:eastAsia="Calibri" w:hAnsi="Arial"/>
          <w:b/>
          <w:bCs/>
        </w:rPr>
        <w:t>[3]</w:t>
      </w:r>
      <w:r w:rsidRPr="00C15C74">
        <w:rPr>
          <w:rFonts w:ascii="Arial" w:eastAsia="Calibri" w:hAnsi="Arial"/>
        </w:rPr>
        <w:t xml:space="preserve">)  </w:t>
      </w:r>
      <w:r w:rsidR="00B36258" w:rsidRPr="00C15C74">
        <w:rPr>
          <w:rFonts w:ascii="Arial" w:eastAsia="Calibri" w:hAnsi="Arial"/>
        </w:rPr>
        <w:t>* * *</w:t>
      </w:r>
    </w:p>
    <w:p w14:paraId="4142C3A2" w14:textId="77777777" w:rsidR="003450D7" w:rsidRDefault="003450D7" w:rsidP="008B36EE">
      <w:pPr>
        <w:pStyle w:val="DFARS"/>
        <w:rPr>
          <w:rFonts w:ascii="Arial" w:eastAsia="Calibri" w:hAnsi="Arial"/>
          <w:b/>
          <w:bCs/>
        </w:rPr>
      </w:pPr>
    </w:p>
    <w:p w14:paraId="54D454C8" w14:textId="3FFBABB7" w:rsidR="008B36EE" w:rsidRDefault="008B36EE" w:rsidP="008B36EE">
      <w:pPr>
        <w:pStyle w:val="DFARS"/>
        <w:rPr>
          <w:rFonts w:ascii="Arial" w:eastAsia="Calibri" w:hAnsi="Arial"/>
        </w:rPr>
      </w:pPr>
      <w:r w:rsidRPr="008B36EE">
        <w:rPr>
          <w:rFonts w:ascii="Arial" w:eastAsia="Calibri" w:hAnsi="Arial"/>
          <w:b/>
        </w:rPr>
        <w:t>*</w:t>
      </w:r>
      <w:r>
        <w:rPr>
          <w:rFonts w:ascii="Arial" w:eastAsia="Calibri" w:hAnsi="Arial"/>
        </w:rPr>
        <w:t xml:space="preserve"> * * * *</w:t>
      </w:r>
    </w:p>
    <w:sectPr w:rsidR="008B36EE" w:rsidSect="00362A76">
      <w:footerReference w:type="default" r:id="rId7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013C" w14:textId="77777777" w:rsidR="00293342" w:rsidRDefault="00293342">
      <w:r>
        <w:separator/>
      </w:r>
    </w:p>
  </w:endnote>
  <w:endnote w:type="continuationSeparator" w:id="0">
    <w:p w14:paraId="50D7ECF9" w14:textId="77777777" w:rsidR="00293342" w:rsidRDefault="0029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1C03" w14:textId="77777777" w:rsidR="00362A76" w:rsidRDefault="00362A76" w:rsidP="000260FF">
    <w:pPr>
      <w:tabs>
        <w:tab w:val="clear" w:pos="1000"/>
        <w:tab w:val="center" w:pos="4680"/>
        <w:tab w:val="right" w:pos="9360"/>
      </w:tabs>
      <w:ind w:left="0" w:firstLine="0"/>
      <w:jc w:val="center"/>
      <w:rPr>
        <w:rFonts w:ascii="Arial" w:eastAsia="Calibri" w:hAnsi="Arial" w:cs="Arial"/>
        <w:b w:val="0"/>
        <w:sz w:val="22"/>
        <w:szCs w:val="22"/>
      </w:rPr>
    </w:pPr>
  </w:p>
  <w:p w14:paraId="085E2C85" w14:textId="4D95F97D" w:rsidR="000260FF" w:rsidRPr="00C645FF" w:rsidRDefault="000D559B" w:rsidP="000260FF">
    <w:pPr>
      <w:tabs>
        <w:tab w:val="clear" w:pos="1000"/>
        <w:tab w:val="center" w:pos="4680"/>
        <w:tab w:val="right" w:pos="9360"/>
      </w:tabs>
      <w:ind w:left="0" w:firstLine="0"/>
      <w:jc w:val="center"/>
      <w:rPr>
        <w:rFonts w:ascii="Arial" w:eastAsia="Calibri" w:hAnsi="Arial" w:cs="Arial"/>
        <w:b w:val="0"/>
        <w:sz w:val="22"/>
        <w:szCs w:val="22"/>
      </w:rPr>
    </w:pPr>
    <w:sdt>
      <w:sdtPr>
        <w:rPr>
          <w:rFonts w:ascii="Arial" w:eastAsia="Calibri" w:hAnsi="Arial" w:cs="Arial"/>
          <w:b w:val="0"/>
          <w:sz w:val="22"/>
          <w:szCs w:val="22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eastAsia="Calibri" w:hAnsi="Arial" w:cs="Arial"/>
              <w:b w:val="0"/>
              <w:sz w:val="22"/>
              <w:szCs w:val="22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0260FF" w:rsidRPr="00C645FF">
              <w:rPr>
                <w:rFonts w:ascii="Arial" w:eastAsia="Calibri" w:hAnsi="Arial" w:cs="Arial"/>
                <w:b w:val="0"/>
                <w:sz w:val="22"/>
                <w:szCs w:val="22"/>
              </w:rPr>
              <w:t xml:space="preserve">Page </w:t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fldChar w:fldCharType="begin"/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instrText xml:space="preserve"> PAGE  \* Arabic  \* MERGEFORMAT </w:instrText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fldChar w:fldCharType="separate"/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fldChar w:fldCharType="end"/>
            </w:r>
            <w:r w:rsidR="000260FF" w:rsidRPr="00C645FF">
              <w:rPr>
                <w:rFonts w:ascii="Arial" w:eastAsia="Calibri" w:hAnsi="Arial" w:cs="Arial"/>
                <w:b w:val="0"/>
                <w:sz w:val="22"/>
                <w:szCs w:val="22"/>
              </w:rPr>
              <w:t xml:space="preserve"> of </w:t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fldChar w:fldCharType="begin"/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instrText xml:space="preserve"> NUMPAGES  \* Arabic  \* MERGEFORMAT </w:instrText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fldChar w:fldCharType="separate"/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="000260FF" w:rsidRPr="00C645FF">
              <w:rPr>
                <w:rFonts w:ascii="Arial" w:eastAsia="Calibri" w:hAnsi="Arial" w:cs="Arial"/>
                <w:sz w:val="22"/>
                <w:szCs w:val="22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B6B1" w14:textId="77777777" w:rsidR="00293342" w:rsidRDefault="00293342">
      <w:r>
        <w:separator/>
      </w:r>
    </w:p>
  </w:footnote>
  <w:footnote w:type="continuationSeparator" w:id="0">
    <w:p w14:paraId="26545C0C" w14:textId="77777777" w:rsidR="00293342" w:rsidRDefault="00293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3589"/>
    <w:multiLevelType w:val="hybridMultilevel"/>
    <w:tmpl w:val="AFCEE41A"/>
    <w:lvl w:ilvl="0" w:tplc="9B32712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05E20"/>
    <w:multiLevelType w:val="hybridMultilevel"/>
    <w:tmpl w:val="7D7C6AFE"/>
    <w:lvl w:ilvl="0" w:tplc="73C4B57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09949">
    <w:abstractNumId w:val="0"/>
  </w:num>
  <w:num w:numId="2" w16cid:durableId="13749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0E"/>
    <w:rsid w:val="000114EA"/>
    <w:rsid w:val="000124A2"/>
    <w:rsid w:val="000260FF"/>
    <w:rsid w:val="00040E00"/>
    <w:rsid w:val="00044FEF"/>
    <w:rsid w:val="0007151E"/>
    <w:rsid w:val="00071790"/>
    <w:rsid w:val="0008091E"/>
    <w:rsid w:val="00093365"/>
    <w:rsid w:val="00093FE9"/>
    <w:rsid w:val="000D559B"/>
    <w:rsid w:val="000D7F3A"/>
    <w:rsid w:val="000E7E48"/>
    <w:rsid w:val="00142915"/>
    <w:rsid w:val="00155AA5"/>
    <w:rsid w:val="00165322"/>
    <w:rsid w:val="0016611A"/>
    <w:rsid w:val="001A3590"/>
    <w:rsid w:val="001C12B3"/>
    <w:rsid w:val="001F0FA0"/>
    <w:rsid w:val="002012E6"/>
    <w:rsid w:val="00203E3C"/>
    <w:rsid w:val="00212FB8"/>
    <w:rsid w:val="00217103"/>
    <w:rsid w:val="002276B5"/>
    <w:rsid w:val="00253532"/>
    <w:rsid w:val="002775CA"/>
    <w:rsid w:val="002872B0"/>
    <w:rsid w:val="00293342"/>
    <w:rsid w:val="00294C61"/>
    <w:rsid w:val="002A485A"/>
    <w:rsid w:val="002B1BC7"/>
    <w:rsid w:val="002E6822"/>
    <w:rsid w:val="002F0E8A"/>
    <w:rsid w:val="002F23C9"/>
    <w:rsid w:val="00315266"/>
    <w:rsid w:val="0032214C"/>
    <w:rsid w:val="00323B2A"/>
    <w:rsid w:val="0032441B"/>
    <w:rsid w:val="00325827"/>
    <w:rsid w:val="003427B7"/>
    <w:rsid w:val="003450D7"/>
    <w:rsid w:val="00362A76"/>
    <w:rsid w:val="00365140"/>
    <w:rsid w:val="003B3051"/>
    <w:rsid w:val="003E6AA4"/>
    <w:rsid w:val="003E77DD"/>
    <w:rsid w:val="0043702F"/>
    <w:rsid w:val="00440523"/>
    <w:rsid w:val="004604CD"/>
    <w:rsid w:val="00471046"/>
    <w:rsid w:val="0049600A"/>
    <w:rsid w:val="004B74F2"/>
    <w:rsid w:val="004F2DDC"/>
    <w:rsid w:val="00503630"/>
    <w:rsid w:val="00536521"/>
    <w:rsid w:val="00537E9B"/>
    <w:rsid w:val="00576A3D"/>
    <w:rsid w:val="005901B1"/>
    <w:rsid w:val="0059586E"/>
    <w:rsid w:val="005E69D4"/>
    <w:rsid w:val="006019FE"/>
    <w:rsid w:val="006141E4"/>
    <w:rsid w:val="00665D43"/>
    <w:rsid w:val="00670AAD"/>
    <w:rsid w:val="00677A6A"/>
    <w:rsid w:val="0068012F"/>
    <w:rsid w:val="006B3F6C"/>
    <w:rsid w:val="006E0E0E"/>
    <w:rsid w:val="006E68A3"/>
    <w:rsid w:val="007043FD"/>
    <w:rsid w:val="0076503E"/>
    <w:rsid w:val="007A6773"/>
    <w:rsid w:val="007C5CB4"/>
    <w:rsid w:val="007F1434"/>
    <w:rsid w:val="0080375F"/>
    <w:rsid w:val="008177CF"/>
    <w:rsid w:val="008464C8"/>
    <w:rsid w:val="00846858"/>
    <w:rsid w:val="008877E7"/>
    <w:rsid w:val="00890E8D"/>
    <w:rsid w:val="008B36EE"/>
    <w:rsid w:val="008D1C31"/>
    <w:rsid w:val="008D1F57"/>
    <w:rsid w:val="008D5946"/>
    <w:rsid w:val="008E55C5"/>
    <w:rsid w:val="008F1443"/>
    <w:rsid w:val="00904A10"/>
    <w:rsid w:val="00907D85"/>
    <w:rsid w:val="00961B31"/>
    <w:rsid w:val="009B0E80"/>
    <w:rsid w:val="009B3B86"/>
    <w:rsid w:val="009C053C"/>
    <w:rsid w:val="009F720F"/>
    <w:rsid w:val="00A1614F"/>
    <w:rsid w:val="00A25C01"/>
    <w:rsid w:val="00A268B4"/>
    <w:rsid w:val="00A305FA"/>
    <w:rsid w:val="00A42DB0"/>
    <w:rsid w:val="00A61226"/>
    <w:rsid w:val="00AB3320"/>
    <w:rsid w:val="00B033E8"/>
    <w:rsid w:val="00B128EA"/>
    <w:rsid w:val="00B12E61"/>
    <w:rsid w:val="00B14A9C"/>
    <w:rsid w:val="00B2697A"/>
    <w:rsid w:val="00B331CC"/>
    <w:rsid w:val="00B3494D"/>
    <w:rsid w:val="00B36258"/>
    <w:rsid w:val="00B61AB4"/>
    <w:rsid w:val="00B6408F"/>
    <w:rsid w:val="00B96227"/>
    <w:rsid w:val="00BA5B3F"/>
    <w:rsid w:val="00BC71C0"/>
    <w:rsid w:val="00BD2DBF"/>
    <w:rsid w:val="00C12081"/>
    <w:rsid w:val="00C15C74"/>
    <w:rsid w:val="00C21BFB"/>
    <w:rsid w:val="00C366D9"/>
    <w:rsid w:val="00C61533"/>
    <w:rsid w:val="00C645FF"/>
    <w:rsid w:val="00CA7605"/>
    <w:rsid w:val="00CC5653"/>
    <w:rsid w:val="00D0563B"/>
    <w:rsid w:val="00D13A62"/>
    <w:rsid w:val="00D15D03"/>
    <w:rsid w:val="00D43D7E"/>
    <w:rsid w:val="00D474C2"/>
    <w:rsid w:val="00D51656"/>
    <w:rsid w:val="00D817BF"/>
    <w:rsid w:val="00D87BE5"/>
    <w:rsid w:val="00DA35B0"/>
    <w:rsid w:val="00DD1984"/>
    <w:rsid w:val="00DD79D8"/>
    <w:rsid w:val="00DE7A2A"/>
    <w:rsid w:val="00DF458B"/>
    <w:rsid w:val="00E142FA"/>
    <w:rsid w:val="00E300AF"/>
    <w:rsid w:val="00E3448C"/>
    <w:rsid w:val="00E34CCE"/>
    <w:rsid w:val="00E4025D"/>
    <w:rsid w:val="00E50BC4"/>
    <w:rsid w:val="00E624A1"/>
    <w:rsid w:val="00EB7E91"/>
    <w:rsid w:val="00ED087B"/>
    <w:rsid w:val="00F1507A"/>
    <w:rsid w:val="00F30F92"/>
    <w:rsid w:val="00F31A05"/>
    <w:rsid w:val="00F843A9"/>
    <w:rsid w:val="00F84D68"/>
    <w:rsid w:val="00F90C9F"/>
    <w:rsid w:val="00FA20C9"/>
    <w:rsid w:val="00FD3B45"/>
    <w:rsid w:val="00FF265D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89DF173"/>
  <w15:docId w15:val="{B8A370D0-8F14-4799-B2A7-6BB2BB64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NormalWeb">
    <w:name w:val="Normal (Web)"/>
    <w:basedOn w:val="Normal"/>
    <w:uiPriority w:val="99"/>
    <w:unhideWhenUsed/>
    <w:rsid w:val="001F0FA0"/>
    <w:pPr>
      <w:tabs>
        <w:tab w:val="clear" w:pos="1000"/>
      </w:tabs>
      <w:spacing w:before="100" w:beforeAutospacing="1" w:after="100" w:afterAutospacing="1"/>
      <w:ind w:left="0" w:firstLine="0"/>
    </w:pPr>
    <w:rPr>
      <w:b w:val="0"/>
      <w:color w:val="000000"/>
      <w:szCs w:val="24"/>
    </w:rPr>
  </w:style>
  <w:style w:type="character" w:styleId="Hyperlink">
    <w:name w:val="Hyperlink"/>
    <w:rsid w:val="001429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7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74C2"/>
    <w:rPr>
      <w:rFonts w:ascii="Tahoma" w:hAnsi="Tahoma" w:cs="Tahoma"/>
      <w:b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901B1"/>
    <w:rPr>
      <w:b/>
      <w:sz w:val="24"/>
    </w:rPr>
  </w:style>
  <w:style w:type="character" w:styleId="LineNumber">
    <w:name w:val="line number"/>
    <w:basedOn w:val="DefaultParagraphFont"/>
    <w:semiHidden/>
    <w:unhideWhenUsed/>
    <w:rsid w:val="005901B1"/>
  </w:style>
  <w:style w:type="character" w:styleId="CommentReference">
    <w:name w:val="annotation reference"/>
    <w:basedOn w:val="DefaultParagraphFont"/>
    <w:semiHidden/>
    <w:unhideWhenUsed/>
    <w:rsid w:val="00044FE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4FE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44FEF"/>
    <w:rPr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44FEF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4FEF"/>
    <w:rPr>
      <w:b/>
      <w:bCs/>
    </w:rPr>
  </w:style>
  <w:style w:type="paragraph" w:styleId="Revision">
    <w:name w:val="Revision"/>
    <w:hidden/>
    <w:uiPriority w:val="99"/>
    <w:semiHidden/>
    <w:rsid w:val="009F720F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1164</CharactersWithSpaces>
  <SharedDoc>false</SharedDoc>
  <HLinks>
    <vt:vector size="24" baseType="variant">
      <vt:variant>
        <vt:i4>1835103</vt:i4>
      </vt:variant>
      <vt:variant>
        <vt:i4>9</vt:i4>
      </vt:variant>
      <vt:variant>
        <vt:i4>0</vt:i4>
      </vt:variant>
      <vt:variant>
        <vt:i4>5</vt:i4>
      </vt:variant>
      <vt:variant>
        <vt:lpwstr>https://eportal.nspa.nato.int/AC135Public/scage/CageList.aspx</vt:lpwstr>
      </vt:variant>
      <vt:variant>
        <vt:lpwstr/>
      </vt:variant>
      <vt:variant>
        <vt:i4>3604601</vt:i4>
      </vt:variant>
      <vt:variant>
        <vt:i4>6</vt:i4>
      </vt:variant>
      <vt:variant>
        <vt:i4>0</vt:i4>
      </vt:variant>
      <vt:variant>
        <vt:i4>5</vt:i4>
      </vt:variant>
      <vt:variant>
        <vt:lpwstr>http://www.nato.int/structur/AC/135/main/links/contacts.htm</vt:lpwstr>
      </vt:variant>
      <vt:variant>
        <vt:lpwstr/>
      </vt:variant>
      <vt:variant>
        <vt:i4>2621486</vt:i4>
      </vt:variant>
      <vt:variant>
        <vt:i4>3</vt:i4>
      </vt:variant>
      <vt:variant>
        <vt:i4>0</vt:i4>
      </vt:variant>
      <vt:variant>
        <vt:i4>5</vt:i4>
      </vt:variant>
      <vt:variant>
        <vt:lpwstr>http://dtic.mil/whs/directives/forms/eforms/dd2051.pdf</vt:lpwstr>
      </vt:variant>
      <vt:variant>
        <vt:lpwstr/>
      </vt:variant>
      <vt:variant>
        <vt:i4>2818102</vt:i4>
      </vt:variant>
      <vt:variant>
        <vt:i4>0</vt:i4>
      </vt:variant>
      <vt:variant>
        <vt:i4>0</vt:i4>
      </vt:variant>
      <vt:variant>
        <vt:i4>5</vt:i4>
      </vt:variant>
      <vt:variant>
        <vt:lpwstr>https://www.dla.mil/CAGECodeRequestorUpdate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creator>OUSD(A&amp;T)</dc:creator>
  <cp:lastModifiedBy>Johnson, Jennifer D CIV OSD OUSD A-S (USA)</cp:lastModifiedBy>
  <cp:revision>5</cp:revision>
  <cp:lastPrinted>2016-09-23T17:37:00Z</cp:lastPrinted>
  <dcterms:created xsi:type="dcterms:W3CDTF">2023-07-31T13:41:00Z</dcterms:created>
  <dcterms:modified xsi:type="dcterms:W3CDTF">2023-08-14T14:04:00Z</dcterms:modified>
</cp:coreProperties>
</file>