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2A66" w14:textId="61961BF6" w:rsidR="00855FC7" w:rsidRPr="00FD7654" w:rsidRDefault="00855FC7" w:rsidP="00E32623">
      <w:pPr>
        <w:tabs>
          <w:tab w:val="left" w:pos="360"/>
        </w:tabs>
        <w:ind w:left="0" w:firstLine="0"/>
        <w:jc w:val="center"/>
        <w:rPr>
          <w:rFonts w:ascii="Arial" w:hAnsi="Arial" w:cs="Arial"/>
          <w:bCs/>
          <w:szCs w:val="24"/>
        </w:rPr>
      </w:pPr>
      <w:bookmarkStart w:id="0" w:name="BM206_2"/>
      <w:r>
        <w:rPr>
          <w:rFonts w:ascii="Arial" w:hAnsi="Arial" w:cs="Arial"/>
          <w:bCs/>
          <w:szCs w:val="24"/>
        </w:rPr>
        <w:t>DFARS PGI Case 2024-P001</w:t>
      </w:r>
    </w:p>
    <w:p w14:paraId="0719753B" w14:textId="79EA496F" w:rsidR="00855FC7" w:rsidRDefault="00855FC7" w:rsidP="00E32623">
      <w:pPr>
        <w:tabs>
          <w:tab w:val="left" w:pos="360"/>
        </w:tabs>
        <w:ind w:hanging="994"/>
        <w:jc w:val="center"/>
        <w:rPr>
          <w:rFonts w:ascii="Arial" w:hAnsi="Arial" w:cs="Arial"/>
          <w:b w:val="0"/>
          <w:bCs/>
          <w:szCs w:val="24"/>
        </w:rPr>
      </w:pPr>
      <w:r w:rsidRPr="00855FC7">
        <w:rPr>
          <w:rFonts w:ascii="Arial" w:hAnsi="Arial" w:cs="Arial"/>
          <w:bCs/>
          <w:szCs w:val="24"/>
        </w:rPr>
        <w:t>Construction Invoice Name Change</w:t>
      </w:r>
    </w:p>
    <w:p w14:paraId="76B31ABE" w14:textId="48B1C35C" w:rsidR="00855FC7" w:rsidRPr="00A43567" w:rsidRDefault="00855FC7" w:rsidP="00E32623">
      <w:pPr>
        <w:tabs>
          <w:tab w:val="left" w:pos="360"/>
        </w:tabs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PGI Text</w:t>
      </w:r>
    </w:p>
    <w:p w14:paraId="7C734EB3" w14:textId="77777777" w:rsidR="001E4315" w:rsidRDefault="001E4315" w:rsidP="00E32623">
      <w:pPr>
        <w:pStyle w:val="DFARS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/>
          <w:bCs/>
          <w:iCs/>
          <w:szCs w:val="24"/>
        </w:rPr>
      </w:pPr>
    </w:p>
    <w:p w14:paraId="3A5B7286" w14:textId="0B274449" w:rsidR="00C3214A" w:rsidRPr="00C3214A" w:rsidRDefault="00C3214A" w:rsidP="00E32623">
      <w:pPr>
        <w:pStyle w:val="DFARS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/>
          <w:bCs/>
          <w:iCs/>
          <w:szCs w:val="24"/>
        </w:rPr>
      </w:pPr>
      <w:r>
        <w:rPr>
          <w:rFonts w:ascii="Arial" w:hAnsi="Arial" w:cs="Arial"/>
          <w:b/>
          <w:bCs/>
          <w:iCs/>
          <w:szCs w:val="24"/>
        </w:rPr>
        <w:t>PGI 204—Administrative and Information Matters</w:t>
      </w:r>
    </w:p>
    <w:p w14:paraId="16D89F3E" w14:textId="2763411C" w:rsidR="00482713" w:rsidRDefault="00482713" w:rsidP="00E32623">
      <w:pPr>
        <w:pStyle w:val="DFARS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/>
          <w:szCs w:val="24"/>
        </w:rPr>
      </w:pPr>
    </w:p>
    <w:p w14:paraId="25C59335" w14:textId="09E1FEF6" w:rsidR="00C3214A" w:rsidRDefault="00C3214A" w:rsidP="00E32623">
      <w:pPr>
        <w:pStyle w:val="DFARS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45A9395B" w14:textId="77777777" w:rsidR="00F65464" w:rsidRPr="002E181D" w:rsidRDefault="00F65464" w:rsidP="00E32623">
      <w:pPr>
        <w:pStyle w:val="DFARS"/>
        <w:widowControl w:val="0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/>
          <w:szCs w:val="24"/>
          <w:u w:val="single"/>
        </w:rPr>
      </w:pPr>
    </w:p>
    <w:p w14:paraId="49873174" w14:textId="77777777" w:rsidR="00AC361B" w:rsidRPr="002E181D" w:rsidRDefault="00AC361B" w:rsidP="00E32623">
      <w:pPr>
        <w:pStyle w:val="DFARS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/>
          <w:szCs w:val="24"/>
        </w:rPr>
      </w:pPr>
      <w:r w:rsidRPr="002E181D">
        <w:rPr>
          <w:rFonts w:ascii="Arial" w:hAnsi="Arial" w:cs="Arial"/>
          <w:b/>
          <w:szCs w:val="24"/>
        </w:rPr>
        <w:t>PGI 204.71—UNIFORM CONTRACT LINE ITEM NUMBERING SYSTEM</w:t>
      </w:r>
    </w:p>
    <w:p w14:paraId="63C431A1" w14:textId="275EFB89" w:rsidR="00AC361B" w:rsidRDefault="00AC361B" w:rsidP="00E32623">
      <w:pPr>
        <w:pStyle w:val="DFARS"/>
        <w:widowControl w:val="0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/>
          <w:szCs w:val="24"/>
        </w:rPr>
      </w:pPr>
    </w:p>
    <w:p w14:paraId="01E4873F" w14:textId="3702A91C" w:rsidR="00AC361B" w:rsidRPr="00AC361B" w:rsidRDefault="00AC361B" w:rsidP="00E32623">
      <w:pPr>
        <w:pStyle w:val="DFARS"/>
        <w:widowControl w:val="0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0EE5672B" w14:textId="77777777" w:rsidR="00AC361B" w:rsidRDefault="00AC361B" w:rsidP="00E32623">
      <w:pPr>
        <w:pStyle w:val="DFARS"/>
        <w:widowControl w:val="0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/>
          <w:szCs w:val="24"/>
        </w:rPr>
      </w:pPr>
    </w:p>
    <w:p w14:paraId="080A3DBD" w14:textId="4D0689E8" w:rsidR="00F65464" w:rsidRPr="002E181D" w:rsidRDefault="00F65464" w:rsidP="00E32623">
      <w:pPr>
        <w:pStyle w:val="DFARS"/>
        <w:widowControl w:val="0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/>
          <w:szCs w:val="24"/>
        </w:rPr>
      </w:pPr>
      <w:r w:rsidRPr="002E181D">
        <w:rPr>
          <w:rFonts w:ascii="Arial" w:hAnsi="Arial" w:cs="Arial"/>
          <w:b/>
          <w:szCs w:val="24"/>
        </w:rPr>
        <w:t>PGI 204.7108  Payment instructions.</w:t>
      </w:r>
    </w:p>
    <w:p w14:paraId="0BEF41CC" w14:textId="77777777" w:rsidR="00F65464" w:rsidRPr="002E181D" w:rsidRDefault="00F65464" w:rsidP="00E32623">
      <w:pPr>
        <w:pStyle w:val="DFARS"/>
        <w:widowControl w:val="0"/>
        <w:tabs>
          <w:tab w:val="clear" w:pos="810"/>
          <w:tab w:val="clear" w:pos="1210"/>
          <w:tab w:val="clear" w:pos="1656"/>
          <w:tab w:val="clear" w:pos="2131"/>
          <w:tab w:val="clear" w:pos="2520"/>
        </w:tabs>
        <w:rPr>
          <w:rFonts w:ascii="Arial" w:hAnsi="Arial" w:cs="Arial"/>
          <w:b/>
          <w:szCs w:val="24"/>
        </w:rPr>
      </w:pPr>
    </w:p>
    <w:p w14:paraId="08998375" w14:textId="77777777" w:rsidR="00615BDB" w:rsidRDefault="00F65464" w:rsidP="00E32623">
      <w:pPr>
        <w:pStyle w:val="DFARS"/>
        <w:rPr>
          <w:rFonts w:ascii="Arial" w:hAnsi="Arial"/>
        </w:rPr>
      </w:pPr>
      <w:r w:rsidRPr="006F3FBA">
        <w:rPr>
          <w:rFonts w:ascii="Arial" w:hAnsi="Arial"/>
        </w:rPr>
        <w:tab/>
        <w:t xml:space="preserve">(b)  For contracts </w:t>
      </w:r>
      <w:r w:rsidR="00334773" w:rsidRPr="006F3FBA">
        <w:rPr>
          <w:rFonts w:ascii="Arial" w:hAnsi="Arial"/>
        </w:rPr>
        <w:t xml:space="preserve">and orders </w:t>
      </w:r>
      <w:r w:rsidRPr="006F3FBA">
        <w:rPr>
          <w:rFonts w:ascii="Arial" w:hAnsi="Arial"/>
        </w:rPr>
        <w:t>covered by this subpart</w:t>
      </w:r>
      <w:r w:rsidR="00615BDB">
        <w:rPr>
          <w:rFonts w:ascii="Arial" w:hAnsi="Arial"/>
        </w:rPr>
        <w:t>—</w:t>
      </w:r>
    </w:p>
    <w:p w14:paraId="0454C592" w14:textId="77777777" w:rsidR="00615BDB" w:rsidRDefault="00615BDB" w:rsidP="00E32623">
      <w:pPr>
        <w:pStyle w:val="DFARS"/>
        <w:rPr>
          <w:rFonts w:ascii="Arial" w:hAnsi="Arial"/>
        </w:rPr>
      </w:pPr>
    </w:p>
    <w:p w14:paraId="790D5D8D" w14:textId="376B11A5" w:rsidR="00C3214A" w:rsidRDefault="00615BDB" w:rsidP="00E32623">
      <w:pPr>
        <w:pStyle w:val="DFARS"/>
        <w:tabs>
          <w:tab w:val="clear" w:pos="810"/>
          <w:tab w:val="left" w:pos="720"/>
        </w:tabs>
        <w:ind w:right="-9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(1)  </w:t>
      </w:r>
      <w:r w:rsidR="00C3214A">
        <w:rPr>
          <w:rFonts w:ascii="Arial" w:hAnsi="Arial"/>
        </w:rPr>
        <w:t xml:space="preserve">* * * </w:t>
      </w:r>
    </w:p>
    <w:p w14:paraId="113A7886" w14:textId="77777777" w:rsidR="00615BDB" w:rsidRDefault="00615BDB" w:rsidP="00E32623">
      <w:pPr>
        <w:pStyle w:val="DFARS"/>
        <w:tabs>
          <w:tab w:val="clear" w:pos="810"/>
          <w:tab w:val="clear" w:pos="1210"/>
          <w:tab w:val="clear" w:pos="1656"/>
          <w:tab w:val="clear" w:pos="2131"/>
          <w:tab w:val="clear" w:pos="252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/>
        </w:rPr>
      </w:pPr>
    </w:p>
    <w:p w14:paraId="0B2E5E36" w14:textId="4E365B65" w:rsidR="00615BDB" w:rsidRDefault="00615BDB" w:rsidP="00E32623">
      <w:pPr>
        <w:pStyle w:val="DFARS"/>
        <w:tabs>
          <w:tab w:val="clear" w:pos="810"/>
          <w:tab w:val="left" w:pos="7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(2)  </w:t>
      </w:r>
      <w:r w:rsidR="00405F32">
        <w:rPr>
          <w:rFonts w:ascii="Arial" w:hAnsi="Arial"/>
        </w:rPr>
        <w:t xml:space="preserve">The payment office shall allocate and record the amounts paid </w:t>
      </w:r>
      <w:r w:rsidR="0038765E">
        <w:rPr>
          <w:rFonts w:ascii="Arial" w:hAnsi="Arial"/>
        </w:rPr>
        <w:t>from the ACRNs</w:t>
      </w:r>
      <w:r w:rsidR="00405F32">
        <w:rPr>
          <w:rFonts w:ascii="Arial" w:hAnsi="Arial"/>
        </w:rPr>
        <w:t xml:space="preserve"> in the contract using the table </w:t>
      </w:r>
      <w:r w:rsidR="0038765E">
        <w:rPr>
          <w:rFonts w:ascii="Arial" w:hAnsi="Arial"/>
        </w:rPr>
        <w:t>in this paragraph (b)(2)</w:t>
      </w:r>
      <w:r w:rsidR="00405F32">
        <w:rPr>
          <w:rFonts w:ascii="Arial" w:hAnsi="Arial"/>
        </w:rPr>
        <w:t xml:space="preserve"> based on the type of payment request submitted (see DFARS </w:t>
      </w:r>
      <w:hyperlink r:id="rId7" w:anchor="252.232-7006" w:history="1">
        <w:r w:rsidR="00405F32" w:rsidRPr="00326588">
          <w:rPr>
            <w:rStyle w:val="Hyperlink"/>
            <w:rFonts w:ascii="Arial" w:hAnsi="Arial"/>
          </w:rPr>
          <w:t>252.232-7006</w:t>
        </w:r>
      </w:hyperlink>
      <w:r w:rsidR="00405F32">
        <w:rPr>
          <w:rFonts w:ascii="Arial" w:hAnsi="Arial"/>
        </w:rPr>
        <w:t>) and the type of effort</w:t>
      </w:r>
      <w:r w:rsidR="0038765E">
        <w:rPr>
          <w:rFonts w:ascii="Arial" w:hAnsi="Arial"/>
        </w:rPr>
        <w:t xml:space="preserve"> </w:t>
      </w:r>
      <w:r w:rsidR="0038765E" w:rsidRPr="0038765E">
        <w:rPr>
          <w:rFonts w:ascii="Arial" w:hAnsi="Arial"/>
        </w:rPr>
        <w:t>identified by the Product Service Code for each deliverable line item or subline item (see FAR 4.1005-1</w:t>
      </w:r>
      <w:r w:rsidR="006B59CC">
        <w:rPr>
          <w:rFonts w:ascii="Arial" w:hAnsi="Arial"/>
        </w:rPr>
        <w:t>)</w:t>
      </w:r>
      <w:r w:rsidR="00405F32">
        <w:rPr>
          <w:rFonts w:ascii="Arial" w:hAnsi="Arial"/>
        </w:rPr>
        <w:t>.</w:t>
      </w:r>
    </w:p>
    <w:p w14:paraId="0CE0F392" w14:textId="77777777" w:rsidR="00405F32" w:rsidRDefault="00405F32" w:rsidP="00E32623">
      <w:pPr>
        <w:pStyle w:val="DFARS"/>
        <w:rPr>
          <w:rFonts w:ascii="Arial" w:hAnsi="Arial"/>
        </w:rPr>
      </w:pPr>
    </w:p>
    <w:tbl>
      <w:tblPr>
        <w:tblStyle w:val="TableGrid1"/>
        <w:tblW w:w="9378" w:type="dxa"/>
        <w:tblLayout w:type="fixed"/>
        <w:tblLook w:val="04A0" w:firstRow="1" w:lastRow="0" w:firstColumn="1" w:lastColumn="0" w:noHBand="0" w:noVBand="1"/>
      </w:tblPr>
      <w:tblGrid>
        <w:gridCol w:w="2448"/>
        <w:gridCol w:w="1620"/>
        <w:gridCol w:w="630"/>
        <w:gridCol w:w="630"/>
        <w:gridCol w:w="720"/>
        <w:gridCol w:w="3330"/>
      </w:tblGrid>
      <w:tr w:rsidR="00375089" w:rsidRPr="00BE0B5D" w14:paraId="68CC1A08" w14:textId="77777777" w:rsidTr="004E25B9">
        <w:trPr>
          <w:cantSplit/>
          <w:trHeight w:val="404"/>
          <w:tblHeader/>
        </w:trPr>
        <w:tc>
          <w:tcPr>
            <w:tcW w:w="9378" w:type="dxa"/>
            <w:gridSpan w:val="6"/>
            <w:vAlign w:val="center"/>
          </w:tcPr>
          <w:p w14:paraId="2FC9B907" w14:textId="77777777" w:rsidR="00375089" w:rsidRPr="00EA296B" w:rsidRDefault="00375089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 xml:space="preserve">For Government Use Only </w:t>
            </w:r>
          </w:p>
        </w:tc>
      </w:tr>
      <w:tr w:rsidR="00BE0B5D" w:rsidRPr="00BE0B5D" w14:paraId="0272C7AE" w14:textId="77777777" w:rsidTr="00BE0B5D">
        <w:trPr>
          <w:cantSplit/>
          <w:trHeight w:val="1484"/>
          <w:tblHeader/>
        </w:trPr>
        <w:tc>
          <w:tcPr>
            <w:tcW w:w="2448" w:type="dxa"/>
            <w:vAlign w:val="bottom"/>
          </w:tcPr>
          <w:p w14:paraId="790F9299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Contract/Order Payment Clause</w:t>
            </w:r>
          </w:p>
        </w:tc>
        <w:tc>
          <w:tcPr>
            <w:tcW w:w="1620" w:type="dxa"/>
            <w:vAlign w:val="bottom"/>
          </w:tcPr>
          <w:p w14:paraId="6577F4C9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Type of Payment Request</w:t>
            </w:r>
          </w:p>
        </w:tc>
        <w:tc>
          <w:tcPr>
            <w:tcW w:w="630" w:type="dxa"/>
            <w:textDirection w:val="btLr"/>
            <w:vAlign w:val="bottom"/>
          </w:tcPr>
          <w:p w14:paraId="45F6B0F0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Supply</w:t>
            </w:r>
          </w:p>
        </w:tc>
        <w:tc>
          <w:tcPr>
            <w:tcW w:w="630" w:type="dxa"/>
            <w:textDirection w:val="btLr"/>
            <w:vAlign w:val="bottom"/>
          </w:tcPr>
          <w:p w14:paraId="23EED2F0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Service</w:t>
            </w:r>
          </w:p>
        </w:tc>
        <w:tc>
          <w:tcPr>
            <w:tcW w:w="720" w:type="dxa"/>
            <w:textDirection w:val="btLr"/>
            <w:vAlign w:val="bottom"/>
          </w:tcPr>
          <w:p w14:paraId="1C1EFC4F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Construction</w:t>
            </w:r>
          </w:p>
        </w:tc>
        <w:tc>
          <w:tcPr>
            <w:tcW w:w="3330" w:type="dxa"/>
            <w:vAlign w:val="bottom"/>
          </w:tcPr>
          <w:p w14:paraId="6BC2223C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Payment Office</w:t>
            </w:r>
          </w:p>
          <w:p w14:paraId="11A85934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Allocation Method</w:t>
            </w:r>
          </w:p>
        </w:tc>
      </w:tr>
      <w:tr w:rsidR="006E71AF" w:rsidRPr="00BE0B5D" w14:paraId="55188B22" w14:textId="77777777" w:rsidTr="006E71AF">
        <w:trPr>
          <w:cantSplit/>
          <w:trHeight w:val="305"/>
          <w:tblHeader/>
        </w:trPr>
        <w:tc>
          <w:tcPr>
            <w:tcW w:w="2448" w:type="dxa"/>
            <w:vAlign w:val="bottom"/>
          </w:tcPr>
          <w:p w14:paraId="6882F0EE" w14:textId="763809B1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* * * * *</w:t>
            </w:r>
          </w:p>
        </w:tc>
        <w:tc>
          <w:tcPr>
            <w:tcW w:w="1620" w:type="dxa"/>
            <w:vAlign w:val="bottom"/>
          </w:tcPr>
          <w:p w14:paraId="0261C264" w14:textId="77777777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</w:p>
        </w:tc>
        <w:tc>
          <w:tcPr>
            <w:tcW w:w="630" w:type="dxa"/>
            <w:textDirection w:val="btLr"/>
            <w:vAlign w:val="bottom"/>
          </w:tcPr>
          <w:p w14:paraId="7B6B2754" w14:textId="77777777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</w:p>
        </w:tc>
        <w:tc>
          <w:tcPr>
            <w:tcW w:w="630" w:type="dxa"/>
            <w:textDirection w:val="btLr"/>
            <w:vAlign w:val="bottom"/>
          </w:tcPr>
          <w:p w14:paraId="58D0B9C7" w14:textId="77777777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</w:p>
        </w:tc>
        <w:tc>
          <w:tcPr>
            <w:tcW w:w="720" w:type="dxa"/>
            <w:textDirection w:val="btLr"/>
            <w:vAlign w:val="bottom"/>
          </w:tcPr>
          <w:p w14:paraId="5A73E63A" w14:textId="77777777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</w:p>
        </w:tc>
        <w:tc>
          <w:tcPr>
            <w:tcW w:w="3330" w:type="dxa"/>
            <w:vAlign w:val="bottom"/>
          </w:tcPr>
          <w:p w14:paraId="2B541E3B" w14:textId="77777777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</w:p>
        </w:tc>
      </w:tr>
      <w:tr w:rsidR="00BE0B5D" w:rsidRPr="00BE0B5D" w14:paraId="155690F7" w14:textId="77777777" w:rsidTr="00BE0B5D">
        <w:trPr>
          <w:cantSplit/>
        </w:trPr>
        <w:tc>
          <w:tcPr>
            <w:tcW w:w="2448" w:type="dxa"/>
          </w:tcPr>
          <w:p w14:paraId="77BA0E22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52.232-5, Payments Under Fixed-Price Construction Contracts</w:t>
            </w:r>
          </w:p>
        </w:tc>
        <w:tc>
          <w:tcPr>
            <w:tcW w:w="1620" w:type="dxa"/>
          </w:tcPr>
          <w:p w14:paraId="37BD1527" w14:textId="13E62E63" w:rsidR="00BE0B5D" w:rsidRPr="00855FC7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rPr>
                <w:rFonts w:ascii="Arial" w:eastAsiaTheme="minorHAnsi" w:hAnsi="Arial" w:cs="Arial"/>
                <w:bCs/>
                <w:strike/>
                <w:spacing w:val="-5"/>
                <w:kern w:val="20"/>
                <w:sz w:val="22"/>
                <w:szCs w:val="22"/>
              </w:rPr>
            </w:pPr>
            <w:r w:rsidRPr="00855FC7">
              <w:rPr>
                <w:rFonts w:ascii="Arial" w:eastAsiaTheme="minorHAnsi" w:hAnsi="Arial" w:cs="Arial"/>
                <w:b w:val="0"/>
                <w:strike/>
                <w:spacing w:val="-5"/>
                <w:kern w:val="20"/>
                <w:sz w:val="22"/>
                <w:szCs w:val="22"/>
              </w:rPr>
              <w:t>Construction Payment Invoice</w:t>
            </w:r>
            <w:r w:rsidR="00855FC7" w:rsidRPr="00855FC7">
              <w:rPr>
                <w:rFonts w:ascii="Arial" w:eastAsiaTheme="minorHAnsi" w:hAnsi="Arial" w:cs="Arial"/>
                <w:bCs/>
                <w:spacing w:val="-5"/>
                <w:kern w:val="20"/>
                <w:sz w:val="22"/>
                <w:szCs w:val="22"/>
              </w:rPr>
              <w:t>[Construction and Facilities Management Invoice</w:t>
            </w:r>
            <w:r w:rsidR="00855FC7">
              <w:rPr>
                <w:rFonts w:ascii="Arial" w:eastAsiaTheme="minorHAnsi" w:hAnsi="Arial" w:cs="Arial"/>
                <w:bCs/>
                <w:spacing w:val="-5"/>
                <w:kern w:val="20"/>
                <w:sz w:val="22"/>
                <w:szCs w:val="22"/>
              </w:rPr>
              <w:t>]</w:t>
            </w:r>
          </w:p>
        </w:tc>
        <w:tc>
          <w:tcPr>
            <w:tcW w:w="630" w:type="dxa"/>
          </w:tcPr>
          <w:p w14:paraId="6BE15B19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N/A</w:t>
            </w:r>
          </w:p>
        </w:tc>
        <w:tc>
          <w:tcPr>
            <w:tcW w:w="630" w:type="dxa"/>
          </w:tcPr>
          <w:p w14:paraId="3F70B76E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N/A</w:t>
            </w:r>
          </w:p>
        </w:tc>
        <w:tc>
          <w:tcPr>
            <w:tcW w:w="720" w:type="dxa"/>
          </w:tcPr>
          <w:p w14:paraId="6239DFC9" w14:textId="77777777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X</w:t>
            </w:r>
          </w:p>
        </w:tc>
        <w:tc>
          <w:tcPr>
            <w:tcW w:w="3330" w:type="dxa"/>
          </w:tcPr>
          <w:p w14:paraId="614B0047" w14:textId="6C192B9B" w:rsidR="00BE0B5D" w:rsidRPr="00EA296B" w:rsidRDefault="00BE0B5D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 xml:space="preserve">Line </w:t>
            </w:r>
            <w:r w:rsidR="00EA296B"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i</w:t>
            </w: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tem specific by fiscal year.  If there is more than one ACRN within a deliverable line or deliverable subline item, the funds will be allocated using the oldest funds</w:t>
            </w:r>
            <w:r w:rsidR="00EA296B"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 xml:space="preserve"> first</w:t>
            </w: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 xml:space="preserve">.  In the event of a deliverable line or deliverable subline item with two </w:t>
            </w:r>
            <w:r w:rsidR="00EA296B"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 xml:space="preserve">or more </w:t>
            </w:r>
            <w:r w:rsidRPr="00EA296B"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ACRNs with the same fiscal year, those amounts will be prorated to the available unliquidated funds for that year.</w:t>
            </w:r>
          </w:p>
        </w:tc>
      </w:tr>
      <w:tr w:rsidR="006E71AF" w:rsidRPr="00BE0B5D" w14:paraId="00C27477" w14:textId="77777777" w:rsidTr="006E71AF">
        <w:trPr>
          <w:cantSplit/>
          <w:trHeight w:val="341"/>
        </w:trPr>
        <w:tc>
          <w:tcPr>
            <w:tcW w:w="2448" w:type="dxa"/>
          </w:tcPr>
          <w:p w14:paraId="0717E723" w14:textId="4471ADE1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  <w:t>* * * * *</w:t>
            </w:r>
          </w:p>
        </w:tc>
        <w:tc>
          <w:tcPr>
            <w:tcW w:w="1620" w:type="dxa"/>
          </w:tcPr>
          <w:p w14:paraId="3B0ADD1E" w14:textId="77777777" w:rsidR="006E71AF" w:rsidRPr="00855FC7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rPr>
                <w:rFonts w:ascii="Arial" w:eastAsiaTheme="minorHAnsi" w:hAnsi="Arial" w:cs="Arial"/>
                <w:b w:val="0"/>
                <w:strike/>
                <w:spacing w:val="-5"/>
                <w:kern w:val="20"/>
                <w:sz w:val="22"/>
                <w:szCs w:val="22"/>
              </w:rPr>
            </w:pPr>
          </w:p>
        </w:tc>
        <w:tc>
          <w:tcPr>
            <w:tcW w:w="630" w:type="dxa"/>
          </w:tcPr>
          <w:p w14:paraId="2AD1929B" w14:textId="77777777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</w:p>
        </w:tc>
        <w:tc>
          <w:tcPr>
            <w:tcW w:w="630" w:type="dxa"/>
          </w:tcPr>
          <w:p w14:paraId="44F1FB75" w14:textId="77777777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248855C" w14:textId="77777777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jc w:val="center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</w:p>
        </w:tc>
        <w:tc>
          <w:tcPr>
            <w:tcW w:w="3330" w:type="dxa"/>
          </w:tcPr>
          <w:p w14:paraId="0330C356" w14:textId="77777777" w:rsidR="006E71AF" w:rsidRPr="00EA296B" w:rsidRDefault="006E71AF" w:rsidP="00E32623">
            <w:pPr>
              <w:keepNext/>
              <w:keepLines/>
              <w:tabs>
                <w:tab w:val="clear" w:pos="1000"/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</w:tabs>
              <w:spacing w:line="240" w:lineRule="exact"/>
              <w:ind w:left="0" w:firstLine="0"/>
              <w:rPr>
                <w:rFonts w:ascii="Arial" w:eastAsiaTheme="minorHAnsi" w:hAnsi="Arial" w:cs="Arial"/>
                <w:b w:val="0"/>
                <w:spacing w:val="-5"/>
                <w:kern w:val="20"/>
                <w:sz w:val="22"/>
                <w:szCs w:val="22"/>
              </w:rPr>
            </w:pPr>
          </w:p>
        </w:tc>
      </w:tr>
      <w:bookmarkEnd w:id="0"/>
    </w:tbl>
    <w:p w14:paraId="1E14644F" w14:textId="722782ED" w:rsidR="00405F32" w:rsidRDefault="00405F32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</w:rPr>
      </w:pPr>
    </w:p>
    <w:p w14:paraId="70D6B4EE" w14:textId="4423368A" w:rsidR="00855FC7" w:rsidRDefault="00855FC7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p w14:paraId="15F0230D" w14:textId="7E86BBE7" w:rsidR="00855FC7" w:rsidRDefault="00855FC7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</w:rPr>
      </w:pPr>
    </w:p>
    <w:p w14:paraId="11E390B8" w14:textId="34643C09" w:rsidR="00855FC7" w:rsidRDefault="00AC361B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  <w:b/>
          <w:bCs/>
        </w:rPr>
      </w:pPr>
      <w:r w:rsidRPr="00AC361B">
        <w:rPr>
          <w:rFonts w:ascii="Arial" w:hAnsi="Arial" w:cs="Arial"/>
          <w:b/>
          <w:bCs/>
        </w:rPr>
        <w:t>PGI 232—Contract financing</w:t>
      </w:r>
    </w:p>
    <w:p w14:paraId="045FF7D8" w14:textId="70B3D363" w:rsidR="00E32623" w:rsidRDefault="00E32623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  <w:b/>
          <w:bCs/>
        </w:rPr>
      </w:pPr>
    </w:p>
    <w:p w14:paraId="3DC16677" w14:textId="7768CA67" w:rsidR="00E32623" w:rsidRDefault="00E32623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 * * * *</w:t>
      </w:r>
    </w:p>
    <w:p w14:paraId="36910EDD" w14:textId="6D360F07" w:rsidR="00AC361B" w:rsidRDefault="00AC361B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</w:rPr>
      </w:pPr>
    </w:p>
    <w:p w14:paraId="3A1DBA22" w14:textId="77777777" w:rsidR="00542C95" w:rsidRDefault="00542C95" w:rsidP="00E32623">
      <w:pPr>
        <w:pStyle w:val="DFARS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PGI 232.70—ELECTRONIC SUBMISSION AND PROCESSING OF PAYMENT REQUESTS AND RECEIVING REPORTS</w:t>
      </w:r>
    </w:p>
    <w:p w14:paraId="4DEB73FB" w14:textId="787D8415" w:rsidR="00AC361B" w:rsidRDefault="00AC361B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</w:rPr>
      </w:pPr>
    </w:p>
    <w:p w14:paraId="02411BB5" w14:textId="0D84CA82" w:rsidR="00542C95" w:rsidRPr="00542C95" w:rsidRDefault="00542C95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</w:rPr>
      </w:pPr>
      <w:r w:rsidRPr="00542C95">
        <w:rPr>
          <w:rFonts w:ascii="Arial" w:hAnsi="Arial" w:cs="Arial"/>
        </w:rPr>
        <w:t>* * * * *</w:t>
      </w:r>
    </w:p>
    <w:p w14:paraId="3A599F9D" w14:textId="44334828" w:rsidR="00542C95" w:rsidRDefault="00542C95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  <w:b/>
          <w:bCs/>
        </w:rPr>
      </w:pPr>
    </w:p>
    <w:p w14:paraId="5DE5C13E" w14:textId="13AEA11B" w:rsidR="00542C95" w:rsidRPr="00A82CE9" w:rsidRDefault="00542C95" w:rsidP="00E32623">
      <w:pPr>
        <w:pStyle w:val="DFARS"/>
        <w:rPr>
          <w:rFonts w:ascii="Arial" w:hAnsi="Arial" w:cs="Arial"/>
          <w:b/>
          <w:bCs/>
          <w:szCs w:val="24"/>
        </w:rPr>
      </w:pPr>
      <w:r w:rsidRPr="00A82CE9">
        <w:rPr>
          <w:rFonts w:ascii="Arial" w:hAnsi="Arial" w:cs="Arial"/>
          <w:b/>
          <w:bCs/>
          <w:szCs w:val="24"/>
        </w:rPr>
        <w:t>PGI 232.7004  Contract clause</w:t>
      </w:r>
      <w:r>
        <w:rPr>
          <w:rFonts w:ascii="Arial" w:hAnsi="Arial" w:cs="Arial"/>
          <w:b/>
          <w:bCs/>
          <w:szCs w:val="24"/>
        </w:rPr>
        <w:t xml:space="preserve"> instructions.</w:t>
      </w:r>
    </w:p>
    <w:p w14:paraId="523353CB" w14:textId="77777777" w:rsidR="00542C95" w:rsidRPr="00A82CE9" w:rsidRDefault="00542C95" w:rsidP="00E32623">
      <w:pPr>
        <w:pStyle w:val="DFARS"/>
        <w:rPr>
          <w:rFonts w:ascii="Arial" w:hAnsi="Arial" w:cs="Arial"/>
          <w:szCs w:val="24"/>
        </w:rPr>
      </w:pPr>
    </w:p>
    <w:p w14:paraId="16227EA5" w14:textId="562EC768" w:rsidR="00542C95" w:rsidRPr="00A82CE9" w:rsidRDefault="00542C95" w:rsidP="00E32623">
      <w:pPr>
        <w:pStyle w:val="DFARS"/>
        <w:rPr>
          <w:rFonts w:ascii="Arial" w:hAnsi="Arial" w:cs="Arial"/>
          <w:szCs w:val="24"/>
        </w:rPr>
      </w:pPr>
      <w:r w:rsidRPr="00A82CE9">
        <w:rPr>
          <w:rFonts w:ascii="Arial" w:hAnsi="Arial" w:cs="Arial"/>
          <w:szCs w:val="24"/>
        </w:rPr>
        <w:tab/>
        <w:t xml:space="preserve">(b)(1)  </w:t>
      </w:r>
      <w:r>
        <w:rPr>
          <w:rFonts w:ascii="Arial" w:hAnsi="Arial" w:cs="Arial"/>
          <w:szCs w:val="24"/>
        </w:rPr>
        <w:t>* * *</w:t>
      </w:r>
    </w:p>
    <w:p w14:paraId="446148FF" w14:textId="77777777" w:rsidR="00542C95" w:rsidRPr="00A82CE9" w:rsidRDefault="00542C95" w:rsidP="00E32623">
      <w:pPr>
        <w:pStyle w:val="DFARS"/>
        <w:rPr>
          <w:rFonts w:ascii="Arial" w:hAnsi="Arial" w:cs="Arial"/>
          <w:szCs w:val="24"/>
        </w:rPr>
      </w:pPr>
    </w:p>
    <w:p w14:paraId="383B00D7" w14:textId="1C6F0961" w:rsidR="00542C95" w:rsidRPr="00EA0033" w:rsidRDefault="00542C95" w:rsidP="00E32623">
      <w:pPr>
        <w:pStyle w:val="DFARS"/>
        <w:tabs>
          <w:tab w:val="clear" w:pos="810"/>
          <w:tab w:val="left" w:pos="720"/>
        </w:tabs>
        <w:rPr>
          <w:rFonts w:ascii="Arial" w:hAnsi="Arial" w:cs="Arial"/>
          <w:szCs w:val="24"/>
        </w:rPr>
      </w:pPr>
      <w:r w:rsidRPr="00A82CE9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A82CE9">
        <w:rPr>
          <w:rFonts w:ascii="Arial" w:hAnsi="Arial" w:cs="Arial"/>
          <w:szCs w:val="24"/>
        </w:rPr>
        <w:t xml:space="preserve">(2)  </w:t>
      </w:r>
      <w:r>
        <w:rPr>
          <w:rFonts w:ascii="Arial" w:hAnsi="Arial" w:cs="Arial"/>
          <w:szCs w:val="24"/>
        </w:rPr>
        <w:t>* * *</w:t>
      </w:r>
    </w:p>
    <w:p w14:paraId="4A9C147E" w14:textId="77777777" w:rsidR="00542C95" w:rsidRPr="00EA0033" w:rsidRDefault="00542C95" w:rsidP="00E32623">
      <w:pPr>
        <w:pStyle w:val="DFARS"/>
        <w:rPr>
          <w:rFonts w:ascii="Arial" w:hAnsi="Arial" w:cs="Arial"/>
          <w:szCs w:val="24"/>
        </w:rPr>
      </w:pPr>
    </w:p>
    <w:p w14:paraId="60CAFE30" w14:textId="77777777" w:rsidR="00542C95" w:rsidRPr="00EA0033" w:rsidRDefault="00542C95" w:rsidP="00E32623">
      <w:pPr>
        <w:pStyle w:val="DFARS"/>
        <w:tabs>
          <w:tab w:val="clear" w:pos="810"/>
          <w:tab w:val="left" w:pos="720"/>
        </w:tabs>
        <w:rPr>
          <w:rFonts w:ascii="Arial" w:hAnsi="Arial" w:cs="Arial"/>
          <w:szCs w:val="24"/>
        </w:rPr>
      </w:pPr>
      <w:r w:rsidRPr="00EA0033">
        <w:rPr>
          <w:rFonts w:ascii="Arial" w:hAnsi="Arial" w:cs="Arial"/>
          <w:szCs w:val="24"/>
        </w:rPr>
        <w:tab/>
      </w:r>
      <w:r w:rsidRPr="00EA0033">
        <w:rPr>
          <w:rFonts w:ascii="Arial" w:hAnsi="Arial" w:cs="Arial"/>
          <w:szCs w:val="24"/>
        </w:rPr>
        <w:tab/>
        <w:t>(3)  Complete paragraph (f)(1)(ii)(B) of the clause, if applicable, by inserting one of the following document types appropriate to the work being performed:</w:t>
      </w:r>
    </w:p>
    <w:p w14:paraId="66865E2A" w14:textId="77777777" w:rsidR="00542C95" w:rsidRPr="00EA0033" w:rsidRDefault="00542C95" w:rsidP="00E32623">
      <w:pPr>
        <w:pStyle w:val="DFARS"/>
        <w:rPr>
          <w:rFonts w:ascii="Arial" w:hAnsi="Arial" w:cs="Arial"/>
          <w:szCs w:val="24"/>
        </w:rPr>
      </w:pPr>
    </w:p>
    <w:p w14:paraId="4BD74C38" w14:textId="77777777" w:rsidR="00542C95" w:rsidRPr="00EA0033" w:rsidRDefault="00542C95" w:rsidP="00E32623">
      <w:pPr>
        <w:pStyle w:val="DFARS"/>
        <w:tabs>
          <w:tab w:val="clear" w:pos="810"/>
          <w:tab w:val="clear" w:pos="1210"/>
          <w:tab w:val="left" w:pos="720"/>
          <w:tab w:val="left" w:pos="1080"/>
        </w:tabs>
        <w:rPr>
          <w:rFonts w:ascii="Arial" w:hAnsi="Arial" w:cs="Arial"/>
          <w:szCs w:val="24"/>
        </w:rPr>
      </w:pPr>
      <w:r w:rsidRPr="00EA0033">
        <w:rPr>
          <w:rFonts w:ascii="Arial" w:hAnsi="Arial" w:cs="Arial"/>
          <w:szCs w:val="24"/>
        </w:rPr>
        <w:tab/>
      </w:r>
      <w:r w:rsidRPr="00EA0033">
        <w:rPr>
          <w:rFonts w:ascii="Arial" w:hAnsi="Arial" w:cs="Arial"/>
          <w:szCs w:val="24"/>
        </w:rPr>
        <w:tab/>
      </w:r>
      <w:r w:rsidRPr="00EA0033">
        <w:rPr>
          <w:rFonts w:ascii="Arial" w:hAnsi="Arial" w:cs="Arial"/>
          <w:szCs w:val="24"/>
        </w:rPr>
        <w:tab/>
        <w:t>(i)  Invoice and Receiving Report.</w:t>
      </w:r>
    </w:p>
    <w:p w14:paraId="1D93EDD1" w14:textId="77777777" w:rsidR="00542C95" w:rsidRPr="00EA0033" w:rsidRDefault="00542C95" w:rsidP="00E32623">
      <w:pPr>
        <w:pStyle w:val="DFARS"/>
        <w:tabs>
          <w:tab w:val="clear" w:pos="810"/>
          <w:tab w:val="clear" w:pos="1210"/>
          <w:tab w:val="left" w:pos="720"/>
          <w:tab w:val="left" w:pos="1080"/>
        </w:tabs>
        <w:rPr>
          <w:rFonts w:ascii="Arial" w:hAnsi="Arial" w:cs="Arial"/>
          <w:szCs w:val="24"/>
        </w:rPr>
      </w:pPr>
    </w:p>
    <w:p w14:paraId="4F172CDD" w14:textId="77777777" w:rsidR="00542C95" w:rsidRPr="00EA0033" w:rsidRDefault="00542C95" w:rsidP="00E32623">
      <w:pPr>
        <w:pStyle w:val="DFARS"/>
        <w:tabs>
          <w:tab w:val="clear" w:pos="810"/>
          <w:tab w:val="clear" w:pos="1210"/>
          <w:tab w:val="left" w:pos="720"/>
          <w:tab w:val="left" w:pos="1080"/>
        </w:tabs>
        <w:rPr>
          <w:rFonts w:ascii="Arial" w:hAnsi="Arial" w:cs="Arial"/>
          <w:szCs w:val="24"/>
        </w:rPr>
      </w:pPr>
      <w:r w:rsidRPr="00EA0033">
        <w:rPr>
          <w:rFonts w:ascii="Arial" w:hAnsi="Arial" w:cs="Arial"/>
          <w:szCs w:val="24"/>
        </w:rPr>
        <w:tab/>
      </w:r>
      <w:r w:rsidRPr="00EA0033">
        <w:rPr>
          <w:rFonts w:ascii="Arial" w:hAnsi="Arial" w:cs="Arial"/>
          <w:szCs w:val="24"/>
        </w:rPr>
        <w:tab/>
      </w:r>
      <w:r w:rsidRPr="00EA0033">
        <w:rPr>
          <w:rFonts w:ascii="Arial" w:hAnsi="Arial" w:cs="Arial"/>
          <w:szCs w:val="24"/>
        </w:rPr>
        <w:tab/>
        <w:t>(ii)  Invoice 2-in-1 (Services only).</w:t>
      </w:r>
    </w:p>
    <w:p w14:paraId="4720EE21" w14:textId="77777777" w:rsidR="00542C95" w:rsidRPr="00EA0033" w:rsidRDefault="00542C95" w:rsidP="00E32623">
      <w:pPr>
        <w:pStyle w:val="DFARS"/>
        <w:tabs>
          <w:tab w:val="clear" w:pos="810"/>
          <w:tab w:val="clear" w:pos="1210"/>
          <w:tab w:val="left" w:pos="720"/>
          <w:tab w:val="left" w:pos="1080"/>
        </w:tabs>
        <w:rPr>
          <w:rFonts w:ascii="Arial" w:hAnsi="Arial" w:cs="Arial"/>
          <w:szCs w:val="24"/>
        </w:rPr>
      </w:pPr>
    </w:p>
    <w:p w14:paraId="555C4BA4" w14:textId="3874CE6B" w:rsidR="00542C95" w:rsidRPr="00EA0033" w:rsidRDefault="00542C95" w:rsidP="00E32623">
      <w:pPr>
        <w:pStyle w:val="DFARS"/>
        <w:tabs>
          <w:tab w:val="clear" w:pos="810"/>
          <w:tab w:val="clear" w:pos="1210"/>
          <w:tab w:val="left" w:pos="720"/>
          <w:tab w:val="left" w:pos="1080"/>
        </w:tabs>
        <w:rPr>
          <w:rFonts w:ascii="Arial" w:hAnsi="Arial" w:cs="Arial"/>
          <w:szCs w:val="24"/>
          <w:lang w:val="en"/>
        </w:rPr>
      </w:pPr>
      <w:r w:rsidRPr="00EA0033">
        <w:rPr>
          <w:rFonts w:ascii="Arial" w:hAnsi="Arial" w:cs="Arial"/>
          <w:szCs w:val="24"/>
        </w:rPr>
        <w:tab/>
      </w:r>
      <w:r w:rsidRPr="00EA0033">
        <w:rPr>
          <w:rFonts w:ascii="Arial" w:hAnsi="Arial" w:cs="Arial"/>
          <w:szCs w:val="24"/>
        </w:rPr>
        <w:tab/>
      </w:r>
      <w:r w:rsidRPr="00EA0033">
        <w:rPr>
          <w:rFonts w:ascii="Arial" w:hAnsi="Arial" w:cs="Arial"/>
          <w:szCs w:val="24"/>
        </w:rPr>
        <w:tab/>
        <w:t xml:space="preserve">(iii)  </w:t>
      </w:r>
      <w:r w:rsidRPr="00542C95">
        <w:rPr>
          <w:rFonts w:ascii="Arial" w:hAnsi="Arial" w:cs="Arial"/>
          <w:strike/>
          <w:szCs w:val="24"/>
          <w:lang w:val="en"/>
        </w:rPr>
        <w:t>Construction Payment Invoice</w:t>
      </w:r>
      <w:r w:rsidRPr="00542C95">
        <w:rPr>
          <w:rFonts w:ascii="Arial" w:hAnsi="Arial" w:cs="Arial"/>
          <w:b/>
          <w:bCs/>
          <w:szCs w:val="24"/>
          <w:lang w:val="en"/>
        </w:rPr>
        <w:t>[Construction and Facilities Management Invoice</w:t>
      </w:r>
      <w:r>
        <w:rPr>
          <w:rFonts w:ascii="Arial" w:hAnsi="Arial" w:cs="Arial"/>
          <w:b/>
          <w:bCs/>
          <w:szCs w:val="24"/>
          <w:lang w:val="en"/>
        </w:rPr>
        <w:t>]</w:t>
      </w:r>
      <w:r w:rsidRPr="00EA0033">
        <w:rPr>
          <w:rFonts w:ascii="Arial" w:hAnsi="Arial" w:cs="Arial"/>
          <w:szCs w:val="24"/>
          <w:lang w:val="en"/>
        </w:rPr>
        <w:t>.</w:t>
      </w:r>
    </w:p>
    <w:p w14:paraId="50CEC2BF" w14:textId="77777777" w:rsidR="00542C95" w:rsidRPr="00EA0033" w:rsidRDefault="00542C95" w:rsidP="00E32623">
      <w:pPr>
        <w:pStyle w:val="DFARS"/>
        <w:rPr>
          <w:rFonts w:ascii="Arial" w:hAnsi="Arial" w:cs="Arial"/>
          <w:szCs w:val="24"/>
          <w:lang w:val="en"/>
        </w:rPr>
      </w:pPr>
    </w:p>
    <w:p w14:paraId="7E63FDE5" w14:textId="0D165C06" w:rsidR="00542C95" w:rsidRPr="00542C95" w:rsidRDefault="00542C95" w:rsidP="00E32623">
      <w:pPr>
        <w:pStyle w:val="NormalWeb"/>
        <w:tabs>
          <w:tab w:val="left" w:pos="360"/>
        </w:tabs>
        <w:spacing w:before="0" w:beforeAutospacing="0" w:after="0" w:afterAutospacing="0" w:line="240" w:lineRule="exact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sectPr w:rsidR="00542C95" w:rsidRPr="00542C95" w:rsidSect="00E55C33">
      <w:headerReference w:type="default" r:id="rId8"/>
      <w:footerReference w:type="default" r:id="rId9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236A" w14:textId="77777777" w:rsidR="00615BDB" w:rsidRDefault="00615BDB">
      <w:r>
        <w:separator/>
      </w:r>
    </w:p>
  </w:endnote>
  <w:endnote w:type="continuationSeparator" w:id="0">
    <w:p w14:paraId="17718B84" w14:textId="77777777" w:rsidR="00615BDB" w:rsidRDefault="0061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186" w14:textId="362A852F" w:rsidR="00D2247E" w:rsidRPr="00E55C33" w:rsidRDefault="00D2247E" w:rsidP="00E55C33">
    <w:pPr>
      <w:pStyle w:val="Footer"/>
      <w:tabs>
        <w:tab w:val="clear" w:pos="1000"/>
        <w:tab w:val="clear" w:pos="4320"/>
        <w:tab w:val="clear" w:pos="8640"/>
        <w:tab w:val="center" w:pos="4680"/>
        <w:tab w:val="right" w:pos="9360"/>
      </w:tabs>
      <w:ind w:left="0" w:firstLine="0"/>
      <w:jc w:val="center"/>
      <w:rPr>
        <w:rFonts w:ascii="Arial" w:hAnsi="Arial" w:cs="Arial"/>
        <w:b w:val="0"/>
        <w:bCs/>
        <w:sz w:val="22"/>
        <w:szCs w:val="22"/>
      </w:rPr>
    </w:pPr>
    <w:r w:rsidRPr="00E55C33">
      <w:rPr>
        <w:rFonts w:ascii="Arial" w:hAnsi="Arial" w:cs="Arial"/>
        <w:b w:val="0"/>
        <w:bCs/>
        <w:sz w:val="22"/>
        <w:szCs w:val="22"/>
      </w:rPr>
      <w:t xml:space="preserve">Page </w:t>
    </w:r>
    <w:r w:rsidRPr="00E55C33">
      <w:rPr>
        <w:rFonts w:ascii="Arial" w:hAnsi="Arial" w:cs="Arial"/>
        <w:b w:val="0"/>
        <w:bCs/>
        <w:sz w:val="22"/>
        <w:szCs w:val="22"/>
      </w:rPr>
      <w:fldChar w:fldCharType="begin"/>
    </w:r>
    <w:r w:rsidRPr="00E55C33">
      <w:rPr>
        <w:rFonts w:ascii="Arial" w:hAnsi="Arial" w:cs="Arial"/>
        <w:b w:val="0"/>
        <w:bCs/>
        <w:sz w:val="22"/>
        <w:szCs w:val="22"/>
      </w:rPr>
      <w:instrText xml:space="preserve"> PAGE </w:instrText>
    </w:r>
    <w:r w:rsidRPr="00E55C33">
      <w:rPr>
        <w:rFonts w:ascii="Arial" w:hAnsi="Arial" w:cs="Arial"/>
        <w:b w:val="0"/>
        <w:bCs/>
        <w:sz w:val="22"/>
        <w:szCs w:val="22"/>
      </w:rPr>
      <w:fldChar w:fldCharType="separate"/>
    </w:r>
    <w:r w:rsidRPr="00E55C33">
      <w:rPr>
        <w:rFonts w:ascii="Arial" w:hAnsi="Arial" w:cs="Arial"/>
        <w:b w:val="0"/>
        <w:bCs/>
        <w:sz w:val="22"/>
        <w:szCs w:val="22"/>
      </w:rPr>
      <w:t>2</w:t>
    </w:r>
    <w:r w:rsidRPr="00E55C33">
      <w:rPr>
        <w:rFonts w:ascii="Arial" w:hAnsi="Arial" w:cs="Arial"/>
        <w:b w:val="0"/>
        <w:bCs/>
        <w:sz w:val="22"/>
        <w:szCs w:val="22"/>
      </w:rPr>
      <w:fldChar w:fldCharType="end"/>
    </w:r>
    <w:r w:rsidRPr="00E55C33">
      <w:rPr>
        <w:rFonts w:ascii="Arial" w:hAnsi="Arial" w:cs="Arial"/>
        <w:b w:val="0"/>
        <w:bCs/>
        <w:sz w:val="22"/>
        <w:szCs w:val="22"/>
      </w:rPr>
      <w:t xml:space="preserve"> of </w:t>
    </w:r>
    <w:r w:rsidRPr="00E55C33">
      <w:rPr>
        <w:rFonts w:ascii="Arial" w:hAnsi="Arial" w:cs="Arial"/>
        <w:b w:val="0"/>
        <w:bCs/>
        <w:sz w:val="22"/>
        <w:szCs w:val="22"/>
      </w:rPr>
      <w:fldChar w:fldCharType="begin"/>
    </w:r>
    <w:r w:rsidRPr="00E55C33">
      <w:rPr>
        <w:rFonts w:ascii="Arial" w:hAnsi="Arial" w:cs="Arial"/>
        <w:b w:val="0"/>
        <w:bCs/>
        <w:sz w:val="22"/>
        <w:szCs w:val="22"/>
      </w:rPr>
      <w:instrText xml:space="preserve"> NUMPAGES  </w:instrText>
    </w:r>
    <w:r w:rsidRPr="00E55C33">
      <w:rPr>
        <w:rFonts w:ascii="Arial" w:hAnsi="Arial" w:cs="Arial"/>
        <w:b w:val="0"/>
        <w:bCs/>
        <w:sz w:val="22"/>
        <w:szCs w:val="22"/>
      </w:rPr>
      <w:fldChar w:fldCharType="separate"/>
    </w:r>
    <w:r w:rsidRPr="00E55C33">
      <w:rPr>
        <w:rFonts w:ascii="Arial" w:hAnsi="Arial" w:cs="Arial"/>
        <w:b w:val="0"/>
        <w:bCs/>
        <w:sz w:val="22"/>
        <w:szCs w:val="22"/>
      </w:rPr>
      <w:t>2</w:t>
    </w:r>
    <w:r w:rsidRPr="00E55C33">
      <w:rPr>
        <w:rFonts w:ascii="Arial" w:hAnsi="Arial" w:cs="Arial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FDA6" w14:textId="77777777" w:rsidR="00615BDB" w:rsidRDefault="00615BDB">
      <w:r>
        <w:separator/>
      </w:r>
    </w:p>
  </w:footnote>
  <w:footnote w:type="continuationSeparator" w:id="0">
    <w:p w14:paraId="0EBAF14A" w14:textId="77777777" w:rsidR="00615BDB" w:rsidRDefault="0061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6794" w14:textId="77777777" w:rsidR="00615BDB" w:rsidRDefault="00615BDB">
    <w:pPr>
      <w:pStyle w:val="Header"/>
      <w:tabs>
        <w:tab w:val="clear" w:pos="8640"/>
        <w:tab w:val="right" w:pos="9260"/>
      </w:tabs>
      <w:ind w:left="0" w:firstLine="0"/>
      <w:rPr>
        <w:rFonts w:ascii="Century Schoolbook" w:hAnsi="Century Schoolbook"/>
        <w:b w:val="0"/>
        <w:sz w:val="20"/>
      </w:rPr>
    </w:pPr>
  </w:p>
  <w:p w14:paraId="7A774F3C" w14:textId="77777777" w:rsidR="00615BDB" w:rsidRDefault="00615BDB" w:rsidP="00D76FAA">
    <w:pPr>
      <w:pStyle w:val="Header"/>
      <w:ind w:left="0" w:firstLine="0"/>
      <w:rPr>
        <w:rFonts w:ascii="Century Schoolbook" w:hAnsi="Century Schoolbook"/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6865"/>
  </w:hdrShapeDefaults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0E"/>
    <w:rsid w:val="00036440"/>
    <w:rsid w:val="00057206"/>
    <w:rsid w:val="0005722C"/>
    <w:rsid w:val="000A0500"/>
    <w:rsid w:val="000F04BD"/>
    <w:rsid w:val="00110220"/>
    <w:rsid w:val="0012026E"/>
    <w:rsid w:val="0013795D"/>
    <w:rsid w:val="00144C85"/>
    <w:rsid w:val="0015186E"/>
    <w:rsid w:val="00173A4F"/>
    <w:rsid w:val="00191694"/>
    <w:rsid w:val="0019504F"/>
    <w:rsid w:val="001C12B3"/>
    <w:rsid w:val="001C2C0D"/>
    <w:rsid w:val="001E4315"/>
    <w:rsid w:val="00206077"/>
    <w:rsid w:val="0021084F"/>
    <w:rsid w:val="0021262F"/>
    <w:rsid w:val="00233E6A"/>
    <w:rsid w:val="00243929"/>
    <w:rsid w:val="00252F77"/>
    <w:rsid w:val="0026175F"/>
    <w:rsid w:val="00280255"/>
    <w:rsid w:val="002872B0"/>
    <w:rsid w:val="0029416D"/>
    <w:rsid w:val="00296C7D"/>
    <w:rsid w:val="002A4649"/>
    <w:rsid w:val="002A485A"/>
    <w:rsid w:val="002A55AA"/>
    <w:rsid w:val="002B1BC7"/>
    <w:rsid w:val="002B624F"/>
    <w:rsid w:val="002B6C73"/>
    <w:rsid w:val="002C1C0E"/>
    <w:rsid w:val="002E181D"/>
    <w:rsid w:val="002E6822"/>
    <w:rsid w:val="0030663A"/>
    <w:rsid w:val="00315CAF"/>
    <w:rsid w:val="00325827"/>
    <w:rsid w:val="00326588"/>
    <w:rsid w:val="00334773"/>
    <w:rsid w:val="003427B7"/>
    <w:rsid w:val="003438D4"/>
    <w:rsid w:val="00365140"/>
    <w:rsid w:val="00365A7F"/>
    <w:rsid w:val="003736E9"/>
    <w:rsid w:val="00375089"/>
    <w:rsid w:val="0038765E"/>
    <w:rsid w:val="00387B1C"/>
    <w:rsid w:val="003A4E1C"/>
    <w:rsid w:val="003A6D4F"/>
    <w:rsid w:val="003C059B"/>
    <w:rsid w:val="003D0794"/>
    <w:rsid w:val="003E6AA4"/>
    <w:rsid w:val="0040122E"/>
    <w:rsid w:val="00405F32"/>
    <w:rsid w:val="004228D8"/>
    <w:rsid w:val="00454EE1"/>
    <w:rsid w:val="0046388C"/>
    <w:rsid w:val="00471046"/>
    <w:rsid w:val="00481ABF"/>
    <w:rsid w:val="00482713"/>
    <w:rsid w:val="004C5A82"/>
    <w:rsid w:val="004D246C"/>
    <w:rsid w:val="004D688E"/>
    <w:rsid w:val="004E25B9"/>
    <w:rsid w:val="004E535E"/>
    <w:rsid w:val="004F0EC9"/>
    <w:rsid w:val="005141B3"/>
    <w:rsid w:val="00537E9B"/>
    <w:rsid w:val="00542C95"/>
    <w:rsid w:val="00550B9B"/>
    <w:rsid w:val="00576A3D"/>
    <w:rsid w:val="005D056F"/>
    <w:rsid w:val="005D11CA"/>
    <w:rsid w:val="005E6C68"/>
    <w:rsid w:val="005F3566"/>
    <w:rsid w:val="006019FE"/>
    <w:rsid w:val="006042F7"/>
    <w:rsid w:val="00607278"/>
    <w:rsid w:val="006141E4"/>
    <w:rsid w:val="00615BDB"/>
    <w:rsid w:val="006246AB"/>
    <w:rsid w:val="00665AAB"/>
    <w:rsid w:val="00665D43"/>
    <w:rsid w:val="00677A6A"/>
    <w:rsid w:val="0068091F"/>
    <w:rsid w:val="006819EC"/>
    <w:rsid w:val="006A48C5"/>
    <w:rsid w:val="006B59CC"/>
    <w:rsid w:val="006D1DA8"/>
    <w:rsid w:val="006E0E0E"/>
    <w:rsid w:val="006E71AF"/>
    <w:rsid w:val="006F3FBA"/>
    <w:rsid w:val="0071106E"/>
    <w:rsid w:val="00727765"/>
    <w:rsid w:val="00737779"/>
    <w:rsid w:val="007503E9"/>
    <w:rsid w:val="007528FE"/>
    <w:rsid w:val="00764AA3"/>
    <w:rsid w:val="00796D5A"/>
    <w:rsid w:val="007A6773"/>
    <w:rsid w:val="007E5EDC"/>
    <w:rsid w:val="007E729D"/>
    <w:rsid w:val="00800BF6"/>
    <w:rsid w:val="008177CF"/>
    <w:rsid w:val="00822C0C"/>
    <w:rsid w:val="008271B8"/>
    <w:rsid w:val="008400F7"/>
    <w:rsid w:val="008464C8"/>
    <w:rsid w:val="00855FC7"/>
    <w:rsid w:val="00866147"/>
    <w:rsid w:val="00883292"/>
    <w:rsid w:val="00886712"/>
    <w:rsid w:val="008877E7"/>
    <w:rsid w:val="00893F8D"/>
    <w:rsid w:val="008B0E47"/>
    <w:rsid w:val="008C55E2"/>
    <w:rsid w:val="008D1F57"/>
    <w:rsid w:val="008D5946"/>
    <w:rsid w:val="009024A2"/>
    <w:rsid w:val="00914937"/>
    <w:rsid w:val="00920824"/>
    <w:rsid w:val="00923E5C"/>
    <w:rsid w:val="00961B31"/>
    <w:rsid w:val="0099271D"/>
    <w:rsid w:val="009A072F"/>
    <w:rsid w:val="009B0E80"/>
    <w:rsid w:val="009C58E3"/>
    <w:rsid w:val="009D4C10"/>
    <w:rsid w:val="009D4C6A"/>
    <w:rsid w:val="009D6EB1"/>
    <w:rsid w:val="009E08DA"/>
    <w:rsid w:val="009E5269"/>
    <w:rsid w:val="00A11887"/>
    <w:rsid w:val="00A1614F"/>
    <w:rsid w:val="00A3226A"/>
    <w:rsid w:val="00A4520F"/>
    <w:rsid w:val="00A60194"/>
    <w:rsid w:val="00A61226"/>
    <w:rsid w:val="00A6780E"/>
    <w:rsid w:val="00A91C64"/>
    <w:rsid w:val="00AA5BAE"/>
    <w:rsid w:val="00AB3320"/>
    <w:rsid w:val="00AC1F3A"/>
    <w:rsid w:val="00AC361B"/>
    <w:rsid w:val="00AD7D6F"/>
    <w:rsid w:val="00AF08F2"/>
    <w:rsid w:val="00B06057"/>
    <w:rsid w:val="00B128EA"/>
    <w:rsid w:val="00B12E61"/>
    <w:rsid w:val="00B17345"/>
    <w:rsid w:val="00B234BE"/>
    <w:rsid w:val="00B331CC"/>
    <w:rsid w:val="00B3494D"/>
    <w:rsid w:val="00B61AB4"/>
    <w:rsid w:val="00B6408F"/>
    <w:rsid w:val="00B850DF"/>
    <w:rsid w:val="00B96227"/>
    <w:rsid w:val="00BA694A"/>
    <w:rsid w:val="00BC077B"/>
    <w:rsid w:val="00BC71C0"/>
    <w:rsid w:val="00BD2DBF"/>
    <w:rsid w:val="00BD6AEB"/>
    <w:rsid w:val="00BE089B"/>
    <w:rsid w:val="00BE0B5D"/>
    <w:rsid w:val="00C12081"/>
    <w:rsid w:val="00C3214A"/>
    <w:rsid w:val="00C622B4"/>
    <w:rsid w:val="00CC5653"/>
    <w:rsid w:val="00CE5467"/>
    <w:rsid w:val="00CE6791"/>
    <w:rsid w:val="00D0013B"/>
    <w:rsid w:val="00D0563B"/>
    <w:rsid w:val="00D1168A"/>
    <w:rsid w:val="00D147AA"/>
    <w:rsid w:val="00D15D03"/>
    <w:rsid w:val="00D2247E"/>
    <w:rsid w:val="00D41767"/>
    <w:rsid w:val="00D63D33"/>
    <w:rsid w:val="00D65CF9"/>
    <w:rsid w:val="00D76FAA"/>
    <w:rsid w:val="00D84B59"/>
    <w:rsid w:val="00D9297A"/>
    <w:rsid w:val="00DB3F00"/>
    <w:rsid w:val="00DC1CC6"/>
    <w:rsid w:val="00DD79D8"/>
    <w:rsid w:val="00DF458B"/>
    <w:rsid w:val="00E12B0E"/>
    <w:rsid w:val="00E32623"/>
    <w:rsid w:val="00E36A3F"/>
    <w:rsid w:val="00E557D7"/>
    <w:rsid w:val="00E55BBC"/>
    <w:rsid w:val="00E55C33"/>
    <w:rsid w:val="00E64FBE"/>
    <w:rsid w:val="00E84DC7"/>
    <w:rsid w:val="00E94A80"/>
    <w:rsid w:val="00E978CA"/>
    <w:rsid w:val="00EA296B"/>
    <w:rsid w:val="00EE451E"/>
    <w:rsid w:val="00EF5C80"/>
    <w:rsid w:val="00EF692E"/>
    <w:rsid w:val="00F0595F"/>
    <w:rsid w:val="00F0671E"/>
    <w:rsid w:val="00F06ACA"/>
    <w:rsid w:val="00F30F92"/>
    <w:rsid w:val="00F643C6"/>
    <w:rsid w:val="00F65464"/>
    <w:rsid w:val="00F82E3E"/>
    <w:rsid w:val="00F831C2"/>
    <w:rsid w:val="00FB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63A16FA3"/>
  <w15:docId w15:val="{633ABF0F-8CC5-4609-B49C-62255B06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0BF6"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rsid w:val="00800BF6"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rsid w:val="00800BF6"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00B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00B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0BF6"/>
  </w:style>
  <w:style w:type="paragraph" w:customStyle="1" w:styleId="DFARS">
    <w:name w:val="DFARS"/>
    <w:basedOn w:val="Normal"/>
    <w:link w:val="DFARSChar"/>
    <w:rsid w:val="00800BF6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PlainText">
    <w:name w:val="Plain Text"/>
    <w:basedOn w:val="Normal"/>
    <w:link w:val="PlainTextChar"/>
    <w:uiPriority w:val="99"/>
    <w:rsid w:val="00F65464"/>
    <w:pPr>
      <w:tabs>
        <w:tab w:val="clear" w:pos="1000"/>
      </w:tabs>
      <w:ind w:left="0" w:firstLine="0"/>
    </w:pPr>
    <w:rPr>
      <w:rFonts w:ascii="Courier New" w:hAnsi="Courier New"/>
      <w:b w:val="0"/>
      <w:sz w:val="20"/>
      <w:lang w:val="x-none" w:eastAsia="x-none"/>
    </w:rPr>
  </w:style>
  <w:style w:type="paragraph" w:styleId="NormalWeb">
    <w:name w:val="Normal (Web)"/>
    <w:basedOn w:val="Normal"/>
    <w:uiPriority w:val="99"/>
    <w:rsid w:val="00F65464"/>
    <w:pPr>
      <w:tabs>
        <w:tab w:val="clear" w:pos="1000"/>
      </w:tabs>
      <w:spacing w:before="100" w:beforeAutospacing="1" w:after="100" w:afterAutospacing="1"/>
      <w:ind w:left="0" w:firstLine="0"/>
    </w:pPr>
    <w:rPr>
      <w:b w:val="0"/>
      <w:szCs w:val="24"/>
    </w:rPr>
  </w:style>
  <w:style w:type="character" w:styleId="Hyperlink">
    <w:name w:val="Hyperlink"/>
    <w:uiPriority w:val="99"/>
    <w:rsid w:val="00E36A3F"/>
    <w:rPr>
      <w:color w:val="0000FF"/>
      <w:u w:val="single"/>
    </w:rPr>
  </w:style>
  <w:style w:type="character" w:customStyle="1" w:styleId="PlainTextChar">
    <w:name w:val="Plain Text Char"/>
    <w:link w:val="PlainText"/>
    <w:uiPriority w:val="99"/>
    <w:rsid w:val="00883292"/>
    <w:rPr>
      <w:rFonts w:ascii="Courier New" w:hAnsi="Courier New"/>
    </w:rPr>
  </w:style>
  <w:style w:type="character" w:styleId="FollowedHyperlink">
    <w:name w:val="FollowedHyperlink"/>
    <w:rsid w:val="00144C85"/>
    <w:rPr>
      <w:color w:val="800080"/>
      <w:u w:val="single"/>
    </w:rPr>
  </w:style>
  <w:style w:type="table" w:customStyle="1" w:styleId="TableGrid1">
    <w:name w:val="Table Grid1"/>
    <w:basedOn w:val="TableNormal"/>
    <w:next w:val="TableGrid"/>
    <w:rsid w:val="00BE0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BE0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BE0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36440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rsid w:val="00315CA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FARSChar">
    <w:name w:val="DFARS Char"/>
    <w:link w:val="DFARS"/>
    <w:locked/>
    <w:rsid w:val="00AC1F3A"/>
    <w:rPr>
      <w:rFonts w:ascii="Century Schoolbook" w:hAnsi="Century Schoolbook"/>
      <w:spacing w:val="-5"/>
      <w:kern w:val="20"/>
      <w:sz w:val="24"/>
    </w:rPr>
  </w:style>
  <w:style w:type="character" w:styleId="LineNumber">
    <w:name w:val="line number"/>
    <w:basedOn w:val="DefaultParagraphFont"/>
    <w:semiHidden/>
    <w:unhideWhenUsed/>
    <w:rsid w:val="00C3214A"/>
  </w:style>
  <w:style w:type="paragraph" w:styleId="ListParagraph">
    <w:name w:val="List Paragraph"/>
    <w:basedOn w:val="Normal"/>
    <w:uiPriority w:val="34"/>
    <w:qFormat/>
    <w:rsid w:val="00855FC7"/>
    <w:pPr>
      <w:tabs>
        <w:tab w:val="clear" w:pos="1000"/>
      </w:tabs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b w:val="0"/>
      <w:sz w:val="22"/>
      <w:szCs w:val="22"/>
    </w:rPr>
  </w:style>
  <w:style w:type="character" w:customStyle="1" w:styleId="FooterChar">
    <w:name w:val="Footer Char"/>
    <w:link w:val="Footer"/>
    <w:uiPriority w:val="99"/>
    <w:rsid w:val="00D2247E"/>
    <w:rPr>
      <w:b/>
      <w:sz w:val="24"/>
    </w:rPr>
  </w:style>
  <w:style w:type="paragraph" w:styleId="Revision">
    <w:name w:val="Revision"/>
    <w:hidden/>
    <w:uiPriority w:val="99"/>
    <w:semiHidden/>
    <w:rsid w:val="00920824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cq.osd.mil/dpap/dars/dfars/html/current/252232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11700-F9C2-43F0-8341-FD7B261D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 204.71—UNIFORM CONTRACT LINE ITEM NUMBERING SYSTEM</vt:lpstr>
    </vt:vector>
  </TitlesOfParts>
  <Company>DoD</Company>
  <LinksUpToDate>false</LinksUpToDate>
  <CharactersWithSpaces>2007</CharactersWithSpaces>
  <SharedDoc>false</SharedDoc>
  <HLinks>
    <vt:vector size="96" baseType="variant">
      <vt:variant>
        <vt:i4>6422619</vt:i4>
      </vt:variant>
      <vt:variant>
        <vt:i4>45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6422619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6422619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4784247</vt:i4>
      </vt:variant>
      <vt:variant>
        <vt:i4>36</vt:i4>
      </vt:variant>
      <vt:variant>
        <vt:i4>0</vt:i4>
      </vt:variant>
      <vt:variant>
        <vt:i4>5</vt:i4>
      </vt:variant>
      <vt:variant>
        <vt:lpwstr>http://www.acq.osd.mil/dpap/dars/dfars/html/current/204_70.htm</vt:lpwstr>
      </vt:variant>
      <vt:variant>
        <vt:lpwstr/>
      </vt:variant>
      <vt:variant>
        <vt:i4>4653077</vt:i4>
      </vt:variant>
      <vt:variant>
        <vt:i4>33</vt:i4>
      </vt:variant>
      <vt:variant>
        <vt:i4>0</vt:i4>
      </vt:variant>
      <vt:variant>
        <vt:i4>5</vt:i4>
      </vt:variant>
      <vt:variant>
        <vt:lpwstr>http://www.acq.osd.mil/dpap/policy/policyvault/USA002246-09-DPAP.pdf</vt:lpwstr>
      </vt:variant>
      <vt:variant>
        <vt:lpwstr/>
      </vt:variant>
      <vt:variant>
        <vt:i4>5505142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204.7103</vt:lpwstr>
      </vt:variant>
      <vt:variant>
        <vt:i4>917531</vt:i4>
      </vt:variant>
      <vt:variant>
        <vt:i4>27</vt:i4>
      </vt:variant>
      <vt:variant>
        <vt:i4>0</vt:i4>
      </vt:variant>
      <vt:variant>
        <vt:i4>5</vt:i4>
      </vt:variant>
      <vt:variant>
        <vt:lpwstr>http://www.acq.osd.mil/dpap/dars/pgi/pgi_htm/PGI204_2.htm</vt:lpwstr>
      </vt:variant>
      <vt:variant>
        <vt:lpwstr>204.201</vt:lpwstr>
      </vt:variant>
      <vt:variant>
        <vt:i4>6422619</vt:i4>
      </vt:variant>
      <vt:variant>
        <vt:i4>24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5374070</vt:i4>
      </vt:variant>
      <vt:variant>
        <vt:i4>21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204.7105</vt:lpwstr>
      </vt:variant>
      <vt:variant>
        <vt:i4>1769485</vt:i4>
      </vt:variant>
      <vt:variant>
        <vt:i4>18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5308425</vt:i4>
      </vt:variant>
      <vt:variant>
        <vt:i4>15</vt:i4>
      </vt:variant>
      <vt:variant>
        <vt:i4>0</vt:i4>
      </vt:variant>
      <vt:variant>
        <vt:i4>5</vt:i4>
      </vt:variant>
      <vt:variant>
        <vt:lpwstr>https://www.daas.dla.mil/daasinq/default.asp</vt:lpwstr>
      </vt:variant>
      <vt:variant>
        <vt:lpwstr/>
      </vt:variant>
      <vt:variant>
        <vt:i4>6488136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http://www.acq.osd.mil/dpap/pdi/eb/docs/Line_Item_UoM_List.xlsx</vt:lpwstr>
      </vt:variant>
      <vt:variant>
        <vt:lpwstr/>
      </vt:variant>
      <vt:variant>
        <vt:i4>1245290</vt:i4>
      </vt:variant>
      <vt:variant>
        <vt:i4>9</vt:i4>
      </vt:variant>
      <vt:variant>
        <vt:i4>0</vt:i4>
      </vt:variant>
      <vt:variant>
        <vt:i4>5</vt:i4>
      </vt:variant>
      <vt:variant>
        <vt:lpwstr>https://www.fpds.gov/fpdsng_cms/index.php/en/worksite.html</vt:lpwstr>
      </vt:variant>
      <vt:variant>
        <vt:lpwstr/>
      </vt:variant>
      <vt:variant>
        <vt:i4>7995445</vt:i4>
      </vt:variant>
      <vt:variant>
        <vt:i4>6</vt:i4>
      </vt:variant>
      <vt:variant>
        <vt:i4>0</vt:i4>
      </vt:variant>
      <vt:variant>
        <vt:i4>5</vt:i4>
      </vt:variant>
      <vt:variant>
        <vt:lpwstr>http://www.dla.mil/j-6/dlmso/elibrary/ServicePoints/CD_ProjCd_nopoc.docx</vt:lpwstr>
      </vt:variant>
      <vt:variant>
        <vt:lpwstr/>
      </vt:variant>
      <vt:variant>
        <vt:i4>6422619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6619227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204.7103-1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 204.71—UNIFORM CONTRACT LINE ITEM NUMBERING SYSTEM</dc:title>
  <dc:creator>OUSD(A&amp;T)</dc:creator>
  <cp:lastModifiedBy>Johnson, Jennifer D CIV OSD OUSD A-S (USA)</cp:lastModifiedBy>
  <cp:revision>3</cp:revision>
  <cp:lastPrinted>2012-12-10T20:36:00Z</cp:lastPrinted>
  <dcterms:created xsi:type="dcterms:W3CDTF">2023-12-15T14:25:00Z</dcterms:created>
  <dcterms:modified xsi:type="dcterms:W3CDTF">2023-12-15T14:26:00Z</dcterms:modified>
</cp:coreProperties>
</file>