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CE4C" w14:textId="66EE7F65" w:rsidR="00A34A97" w:rsidRPr="00C73336" w:rsidRDefault="00C73336"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bCs/>
          <w:sz w:val="24"/>
          <w:szCs w:val="24"/>
        </w:rPr>
      </w:pPr>
      <w:bookmarkStart w:id="0" w:name="219.702"/>
      <w:bookmarkStart w:id="1" w:name="BM219_7"/>
      <w:r w:rsidRPr="00C73336">
        <w:rPr>
          <w:rFonts w:ascii="Arial" w:hAnsi="Arial" w:cs="Arial"/>
          <w:b/>
          <w:bCs/>
          <w:sz w:val="24"/>
          <w:szCs w:val="24"/>
        </w:rPr>
        <w:t>PGI</w:t>
      </w:r>
      <w:r w:rsidR="00A34A97" w:rsidRPr="00C73336">
        <w:rPr>
          <w:rFonts w:ascii="Arial" w:hAnsi="Arial" w:cs="Arial"/>
          <w:b/>
          <w:bCs/>
          <w:sz w:val="24"/>
          <w:szCs w:val="24"/>
        </w:rPr>
        <w:t xml:space="preserve"> </w:t>
      </w:r>
      <w:r w:rsidR="009051E3">
        <w:rPr>
          <w:rFonts w:ascii="Arial" w:hAnsi="Arial" w:cs="Arial"/>
          <w:b/>
          <w:bCs/>
          <w:sz w:val="24"/>
          <w:szCs w:val="24"/>
        </w:rPr>
        <w:t>Administrative Change</w:t>
      </w:r>
    </w:p>
    <w:p w14:paraId="45A968AF" w14:textId="60D56C79" w:rsidR="009051E3" w:rsidRDefault="00AD6431"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August</w:t>
      </w:r>
      <w:r w:rsidR="009051E3">
        <w:rPr>
          <w:rFonts w:ascii="Arial" w:hAnsi="Arial" w:cs="Arial"/>
          <w:b/>
          <w:sz w:val="24"/>
          <w:szCs w:val="24"/>
          <w:shd w:val="clear" w:color="auto" w:fill="FFFFFF"/>
        </w:rPr>
        <w:t xml:space="preserve"> 2025</w:t>
      </w:r>
    </w:p>
    <w:p w14:paraId="699CF2CF" w14:textId="669A39D4" w:rsidR="00F34065" w:rsidRPr="00C73336" w:rsidRDefault="00F34065"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PGI Text</w:t>
      </w:r>
    </w:p>
    <w:p w14:paraId="50B4081B" w14:textId="77777777" w:rsidR="00A34A97" w:rsidRPr="00C73336" w:rsidRDefault="00A34A97" w:rsidP="00596641">
      <w:pPr>
        <w:tabs>
          <w:tab w:val="left" w:pos="360"/>
          <w:tab w:val="left" w:pos="806"/>
          <w:tab w:val="left" w:pos="1210"/>
          <w:tab w:val="left" w:pos="1656"/>
          <w:tab w:val="left" w:pos="2131"/>
          <w:tab w:val="left" w:pos="2520"/>
        </w:tabs>
        <w:spacing w:after="0" w:line="240" w:lineRule="exact"/>
        <w:outlineLvl w:val="3"/>
        <w:rPr>
          <w:rFonts w:ascii="Arial" w:hAnsi="Arial" w:cs="Arial"/>
          <w:bCs/>
          <w:sz w:val="24"/>
          <w:szCs w:val="24"/>
        </w:rPr>
      </w:pPr>
    </w:p>
    <w:p w14:paraId="5D5DC9B7" w14:textId="77777777" w:rsidR="00867C82" w:rsidRPr="00C73336" w:rsidRDefault="00867C82" w:rsidP="00A34A97">
      <w:pPr>
        <w:pStyle w:val="DFARS"/>
        <w:rPr>
          <w:rFonts w:ascii="Arial" w:hAnsi="Arial" w:cs="Arial"/>
        </w:rPr>
      </w:pPr>
    </w:p>
    <w:p w14:paraId="093AB0B2" w14:textId="306CB6CF" w:rsidR="00D558E8" w:rsidRPr="00C73336" w:rsidRDefault="00C73336" w:rsidP="00A34A97">
      <w:pPr>
        <w:pStyle w:val="DFARS"/>
        <w:rPr>
          <w:rFonts w:ascii="Arial" w:hAnsi="Arial" w:cs="Arial"/>
          <w:b/>
        </w:rPr>
      </w:pPr>
      <w:r>
        <w:rPr>
          <w:rFonts w:ascii="Arial" w:hAnsi="Arial" w:cs="Arial"/>
          <w:b/>
        </w:rPr>
        <w:t>PGI</w:t>
      </w:r>
      <w:r w:rsidR="00D558E8" w:rsidRPr="00C73336">
        <w:rPr>
          <w:rFonts w:ascii="Arial" w:hAnsi="Arial" w:cs="Arial"/>
          <w:b/>
        </w:rPr>
        <w:t xml:space="preserve"> 2</w:t>
      </w:r>
      <w:r w:rsidR="009051E3">
        <w:rPr>
          <w:rFonts w:ascii="Arial" w:hAnsi="Arial" w:cs="Arial"/>
          <w:b/>
        </w:rPr>
        <w:t>01</w:t>
      </w:r>
      <w:r w:rsidR="00D558E8" w:rsidRPr="00C73336">
        <w:rPr>
          <w:rFonts w:ascii="Arial" w:hAnsi="Arial" w:cs="Arial"/>
          <w:b/>
        </w:rPr>
        <w:t>—</w:t>
      </w:r>
      <w:r w:rsidR="009051E3">
        <w:rPr>
          <w:rFonts w:ascii="Arial" w:hAnsi="Arial" w:cs="Arial"/>
          <w:b/>
        </w:rPr>
        <w:t>FEDERAL ACQUISITION REGULATIONS SYSTEM</w:t>
      </w:r>
    </w:p>
    <w:p w14:paraId="2B994700" w14:textId="77777777" w:rsidR="00D558E8" w:rsidRPr="00C73336" w:rsidRDefault="00D558E8" w:rsidP="00A34A97">
      <w:pPr>
        <w:pStyle w:val="DFARS"/>
        <w:rPr>
          <w:rFonts w:ascii="Arial" w:hAnsi="Arial" w:cs="Arial"/>
          <w:b/>
        </w:rPr>
      </w:pPr>
    </w:p>
    <w:p w14:paraId="2215B391" w14:textId="50C9D4D7" w:rsidR="00C73336" w:rsidRPr="00C73336" w:rsidRDefault="00C73336" w:rsidP="00C73336">
      <w:pPr>
        <w:pStyle w:val="DFARS"/>
        <w:rPr>
          <w:rFonts w:ascii="Arial" w:hAnsi="Arial" w:cs="Arial"/>
          <w:b/>
        </w:rPr>
      </w:pPr>
      <w:r>
        <w:rPr>
          <w:rFonts w:ascii="Arial" w:hAnsi="Arial" w:cs="Arial"/>
          <w:b/>
        </w:rPr>
        <w:t>PGI</w:t>
      </w:r>
      <w:r w:rsidRPr="00C73336">
        <w:rPr>
          <w:rFonts w:ascii="Arial" w:hAnsi="Arial" w:cs="Arial"/>
          <w:b/>
        </w:rPr>
        <w:t xml:space="preserve"> 2</w:t>
      </w:r>
      <w:r w:rsidR="009051E3">
        <w:rPr>
          <w:rFonts w:ascii="Arial" w:hAnsi="Arial" w:cs="Arial"/>
          <w:b/>
        </w:rPr>
        <w:t>01</w:t>
      </w:r>
      <w:r w:rsidRPr="00C73336">
        <w:rPr>
          <w:rFonts w:ascii="Arial" w:hAnsi="Arial" w:cs="Arial"/>
          <w:b/>
        </w:rPr>
        <w:t>.</w:t>
      </w:r>
      <w:r w:rsidR="009051E3">
        <w:rPr>
          <w:rFonts w:ascii="Arial" w:hAnsi="Arial" w:cs="Arial"/>
          <w:b/>
        </w:rPr>
        <w:t>1</w:t>
      </w:r>
      <w:r w:rsidRPr="00C73336">
        <w:rPr>
          <w:rFonts w:ascii="Arial" w:hAnsi="Arial" w:cs="Arial"/>
          <w:b/>
        </w:rPr>
        <w:t>—</w:t>
      </w:r>
      <w:r w:rsidR="009051E3">
        <w:rPr>
          <w:rFonts w:ascii="Arial" w:hAnsi="Arial" w:cs="Arial"/>
          <w:b/>
        </w:rPr>
        <w:t>PURPOSE, AUTHORITY, ISSUANCE</w:t>
      </w:r>
    </w:p>
    <w:p w14:paraId="1860612A" w14:textId="77777777" w:rsidR="00F34065" w:rsidRPr="00C73336" w:rsidRDefault="00F34065" w:rsidP="00A34A97">
      <w:pPr>
        <w:pStyle w:val="DFARS"/>
        <w:rPr>
          <w:rFonts w:ascii="Arial" w:hAnsi="Arial" w:cs="Arial"/>
          <w:b/>
        </w:rPr>
      </w:pPr>
    </w:p>
    <w:bookmarkEnd w:id="0"/>
    <w:bookmarkEnd w:id="1"/>
    <w:p w14:paraId="6CE1B3BF" w14:textId="15F0BC68" w:rsidR="00AA1B45" w:rsidRDefault="00C73336" w:rsidP="00A34A97">
      <w:pPr>
        <w:pStyle w:val="DFARS"/>
        <w:rPr>
          <w:rFonts w:ascii="Arial" w:hAnsi="Arial" w:cs="Arial"/>
          <w:b/>
        </w:rPr>
      </w:pPr>
      <w:r>
        <w:rPr>
          <w:rFonts w:ascii="Arial" w:hAnsi="Arial" w:cs="Arial"/>
          <w:b/>
        </w:rPr>
        <w:t>PGI 2</w:t>
      </w:r>
      <w:r w:rsidR="009051E3">
        <w:rPr>
          <w:rFonts w:ascii="Arial" w:hAnsi="Arial" w:cs="Arial"/>
          <w:b/>
        </w:rPr>
        <w:t>01</w:t>
      </w:r>
      <w:r>
        <w:rPr>
          <w:rFonts w:ascii="Arial" w:hAnsi="Arial" w:cs="Arial"/>
          <w:b/>
        </w:rPr>
        <w:t>.</w:t>
      </w:r>
      <w:r w:rsidR="009051E3">
        <w:rPr>
          <w:rFonts w:ascii="Arial" w:hAnsi="Arial" w:cs="Arial"/>
          <w:b/>
        </w:rPr>
        <w:t>106</w:t>
      </w:r>
      <w:r>
        <w:rPr>
          <w:rFonts w:ascii="Arial" w:hAnsi="Arial" w:cs="Arial"/>
          <w:b/>
        </w:rPr>
        <w:t xml:space="preserve">  </w:t>
      </w:r>
      <w:r w:rsidR="009051E3">
        <w:rPr>
          <w:rFonts w:ascii="Arial" w:hAnsi="Arial" w:cs="Arial"/>
          <w:b/>
        </w:rPr>
        <w:t>OMB approval under the Paperwork Reduction Act</w:t>
      </w:r>
      <w:r>
        <w:rPr>
          <w:rFonts w:ascii="Arial" w:hAnsi="Arial" w:cs="Arial"/>
          <w:b/>
        </w:rPr>
        <w:t>.</w:t>
      </w:r>
    </w:p>
    <w:p w14:paraId="29B988EB" w14:textId="4EE9840D" w:rsidR="00C73336" w:rsidRDefault="009051E3" w:rsidP="00A34A97">
      <w:pPr>
        <w:pStyle w:val="DFARS"/>
        <w:rPr>
          <w:rFonts w:ascii="Arial" w:hAnsi="Arial" w:cs="Arial"/>
          <w:bCs/>
        </w:rPr>
      </w:pPr>
      <w:r w:rsidRPr="009051E3">
        <w:rPr>
          <w:rFonts w:ascii="Arial" w:hAnsi="Arial" w:cs="Arial"/>
          <w:bCs/>
        </w:rPr>
        <w:t xml:space="preserve">The information collection and recordkeeping requirements contained in the Defense Federal Acquisition Regulation Supplement (DFARS) and Procedures, Guidance, and Information (PGI) have been approved by the Office of Management and Budget. </w:t>
      </w:r>
      <w:r>
        <w:rPr>
          <w:rFonts w:ascii="Arial" w:hAnsi="Arial" w:cs="Arial"/>
          <w:bCs/>
        </w:rPr>
        <w:t xml:space="preserve"> </w:t>
      </w:r>
      <w:r w:rsidRPr="009051E3">
        <w:rPr>
          <w:rFonts w:ascii="Arial" w:hAnsi="Arial" w:cs="Arial"/>
          <w:bCs/>
        </w:rPr>
        <w:t>The following OMB control numbers apply:</w:t>
      </w:r>
    </w:p>
    <w:p w14:paraId="5EEB410D" w14:textId="0FB7A083" w:rsidR="00F34065" w:rsidRDefault="00F34065" w:rsidP="00A34A97">
      <w:pPr>
        <w:pStyle w:val="DFARS"/>
        <w:rPr>
          <w:rFonts w:ascii="Arial" w:hAnsi="Arial" w:cs="Arial"/>
          <w:bCs/>
        </w:rPr>
      </w:pPr>
    </w:p>
    <w:tbl>
      <w:tblPr>
        <w:tblW w:w="0" w:type="auto"/>
        <w:tblInd w:w="500" w:type="dxa"/>
        <w:tblCellMar>
          <w:left w:w="0" w:type="dxa"/>
          <w:right w:w="0" w:type="dxa"/>
        </w:tblCellMar>
        <w:tblLook w:val="04A0" w:firstRow="1" w:lastRow="0" w:firstColumn="1" w:lastColumn="0" w:noHBand="0" w:noVBand="1"/>
      </w:tblPr>
      <w:tblGrid>
        <w:gridCol w:w="2605"/>
        <w:gridCol w:w="2605"/>
      </w:tblGrid>
      <w:tr w:rsidR="009051E3" w:rsidRPr="009051E3" w14:paraId="13B8F813" w14:textId="77777777" w:rsidTr="009051E3">
        <w:tc>
          <w:tcPr>
            <w:tcW w:w="2605"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14:paraId="61B0B665" w14:textId="77777777" w:rsidR="009051E3" w:rsidRPr="009051E3" w:rsidRDefault="009051E3" w:rsidP="009051E3">
            <w:pPr>
              <w:spacing w:before="100" w:after="20" w:line="240" w:lineRule="auto"/>
              <w:rPr>
                <w:rFonts w:ascii="Century Schoolbook" w:eastAsia="Times New Roman" w:hAnsi="Century Schoolbook" w:cs="Times New Roman"/>
                <w:color w:val="000000"/>
                <w:spacing w:val="-5"/>
                <w:sz w:val="24"/>
                <w:szCs w:val="24"/>
              </w:rPr>
            </w:pPr>
            <w:r w:rsidRPr="009051E3">
              <w:rPr>
                <w:rFonts w:ascii="Arial" w:eastAsia="Times New Roman" w:hAnsi="Arial" w:cs="Arial"/>
                <w:color w:val="000000"/>
                <w:spacing w:val="-5"/>
                <w:sz w:val="24"/>
                <w:szCs w:val="24"/>
              </w:rPr>
              <w:t>DFARS Segment</w:t>
            </w:r>
          </w:p>
        </w:tc>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52349B" w14:textId="77777777" w:rsidR="009051E3" w:rsidRPr="009051E3" w:rsidRDefault="009051E3" w:rsidP="009051E3">
            <w:pPr>
              <w:spacing w:before="100" w:after="20" w:line="240" w:lineRule="auto"/>
              <w:rPr>
                <w:rFonts w:ascii="Century Schoolbook" w:eastAsia="Times New Roman" w:hAnsi="Century Schoolbook" w:cs="Times New Roman"/>
                <w:color w:val="000000"/>
                <w:spacing w:val="-5"/>
                <w:sz w:val="24"/>
                <w:szCs w:val="24"/>
              </w:rPr>
            </w:pPr>
            <w:r w:rsidRPr="009051E3">
              <w:rPr>
                <w:rFonts w:ascii="Arial" w:eastAsia="Times New Roman" w:hAnsi="Arial" w:cs="Arial"/>
                <w:color w:val="000000"/>
                <w:spacing w:val="-5"/>
                <w:sz w:val="24"/>
                <w:szCs w:val="24"/>
              </w:rPr>
              <w:t>OMB Control No.</w:t>
            </w:r>
          </w:p>
        </w:tc>
      </w:tr>
      <w:tr w:rsidR="009051E3" w:rsidRPr="009051E3" w14:paraId="06AD7425" w14:textId="77777777" w:rsidTr="009051E3">
        <w:tc>
          <w:tcPr>
            <w:tcW w:w="2605" w:type="dxa"/>
            <w:tcBorders>
              <w:top w:val="nil"/>
              <w:left w:val="single" w:sz="8" w:space="0" w:color="auto"/>
              <w:bottom w:val="single" w:sz="8" w:space="0" w:color="auto"/>
              <w:right w:val="nil"/>
            </w:tcBorders>
            <w:tcMar>
              <w:top w:w="0" w:type="dxa"/>
              <w:left w:w="108" w:type="dxa"/>
              <w:bottom w:w="0" w:type="dxa"/>
              <w:right w:w="108" w:type="dxa"/>
            </w:tcMar>
            <w:hideMark/>
          </w:tcPr>
          <w:p w14:paraId="3A11BB9B" w14:textId="77777777" w:rsidR="009051E3" w:rsidRPr="009051E3" w:rsidRDefault="009051E3" w:rsidP="009051E3">
            <w:pPr>
              <w:spacing w:before="40" w:after="0" w:line="240" w:lineRule="auto"/>
              <w:rPr>
                <w:rFonts w:ascii="Century Schoolbook" w:eastAsia="Times New Roman" w:hAnsi="Century Schoolbook" w:cs="Times New Roman"/>
                <w:color w:val="000000"/>
                <w:spacing w:val="-5"/>
                <w:sz w:val="24"/>
                <w:szCs w:val="24"/>
              </w:rPr>
            </w:pPr>
            <w:r w:rsidRPr="009051E3">
              <w:rPr>
                <w:rFonts w:ascii="Arial" w:eastAsia="Times New Roman" w:hAnsi="Arial" w:cs="Arial"/>
                <w:color w:val="000000"/>
                <w:spacing w:val="-5"/>
                <w:sz w:val="24"/>
                <w:szCs w:val="24"/>
              </w:rPr>
              <w:t>215.403-5</w:t>
            </w:r>
          </w:p>
        </w:tc>
        <w:tc>
          <w:tcPr>
            <w:tcW w:w="2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5706D1" w14:textId="77777777" w:rsidR="009051E3" w:rsidRPr="009051E3" w:rsidRDefault="009051E3" w:rsidP="009051E3">
            <w:pPr>
              <w:spacing w:before="40" w:after="0" w:line="240" w:lineRule="auto"/>
              <w:rPr>
                <w:rFonts w:ascii="Century Schoolbook" w:eastAsia="Times New Roman" w:hAnsi="Century Schoolbook" w:cs="Times New Roman"/>
                <w:color w:val="000000"/>
                <w:spacing w:val="-5"/>
                <w:sz w:val="24"/>
                <w:szCs w:val="24"/>
              </w:rPr>
            </w:pPr>
            <w:r w:rsidRPr="009051E3">
              <w:rPr>
                <w:rFonts w:ascii="Arial" w:eastAsia="Times New Roman" w:hAnsi="Arial" w:cs="Arial"/>
                <w:color w:val="000000"/>
                <w:spacing w:val="-5"/>
                <w:sz w:val="24"/>
                <w:szCs w:val="24"/>
              </w:rPr>
              <w:t>0704-0497</w:t>
            </w:r>
          </w:p>
        </w:tc>
      </w:tr>
      <w:tr w:rsidR="009051E3" w:rsidRPr="009051E3" w14:paraId="7A070E30" w14:textId="77777777" w:rsidTr="009051E3">
        <w:tc>
          <w:tcPr>
            <w:tcW w:w="2605" w:type="dxa"/>
            <w:tcBorders>
              <w:top w:val="nil"/>
              <w:left w:val="single" w:sz="8" w:space="0" w:color="auto"/>
              <w:bottom w:val="single" w:sz="8" w:space="0" w:color="auto"/>
              <w:right w:val="nil"/>
            </w:tcBorders>
            <w:tcMar>
              <w:top w:w="0" w:type="dxa"/>
              <w:left w:w="108" w:type="dxa"/>
              <w:bottom w:w="0" w:type="dxa"/>
              <w:right w:w="108" w:type="dxa"/>
            </w:tcMar>
          </w:tcPr>
          <w:p w14:paraId="1F4FF459" w14:textId="2AC2B0F9" w:rsidR="009051E3" w:rsidRDefault="009051E3" w:rsidP="009051E3">
            <w:pPr>
              <w:spacing w:before="40" w:after="0" w:line="240" w:lineRule="auto"/>
              <w:rPr>
                <w:rFonts w:ascii="Arial" w:eastAsia="Times New Roman" w:hAnsi="Arial" w:cs="Arial"/>
                <w:color w:val="000000"/>
                <w:spacing w:val="-5"/>
                <w:sz w:val="24"/>
                <w:szCs w:val="24"/>
              </w:rPr>
            </w:pPr>
            <w:r>
              <w:rPr>
                <w:rFonts w:ascii="Arial" w:eastAsia="Times New Roman" w:hAnsi="Arial" w:cs="Arial"/>
                <w:color w:val="000000"/>
                <w:spacing w:val="-5"/>
                <w:sz w:val="24"/>
                <w:szCs w:val="24"/>
              </w:rPr>
              <w:t>* * * * *</w:t>
            </w:r>
          </w:p>
        </w:tc>
        <w:tc>
          <w:tcPr>
            <w:tcW w:w="26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5DAEC8" w14:textId="2EFD9900" w:rsidR="009051E3" w:rsidRDefault="009051E3" w:rsidP="009051E3">
            <w:pPr>
              <w:spacing w:before="40" w:after="0" w:line="240" w:lineRule="auto"/>
              <w:rPr>
                <w:rFonts w:ascii="Arial" w:eastAsia="Times New Roman" w:hAnsi="Arial" w:cs="Arial"/>
                <w:color w:val="000000"/>
                <w:spacing w:val="-5"/>
                <w:sz w:val="24"/>
                <w:szCs w:val="24"/>
              </w:rPr>
            </w:pPr>
            <w:r>
              <w:rPr>
                <w:rFonts w:ascii="Arial" w:eastAsia="Times New Roman" w:hAnsi="Arial" w:cs="Arial"/>
                <w:color w:val="000000"/>
                <w:spacing w:val="-5"/>
                <w:sz w:val="24"/>
                <w:szCs w:val="24"/>
              </w:rPr>
              <w:t>* * * * *</w:t>
            </w:r>
          </w:p>
        </w:tc>
      </w:tr>
      <w:tr w:rsidR="009051E3" w:rsidRPr="009051E3" w14:paraId="367539E9" w14:textId="77777777" w:rsidTr="009051E3">
        <w:tc>
          <w:tcPr>
            <w:tcW w:w="2605" w:type="dxa"/>
            <w:tcBorders>
              <w:top w:val="nil"/>
              <w:left w:val="single" w:sz="8" w:space="0" w:color="auto"/>
              <w:bottom w:val="single" w:sz="8" w:space="0" w:color="auto"/>
              <w:right w:val="nil"/>
            </w:tcBorders>
            <w:tcMar>
              <w:top w:w="0" w:type="dxa"/>
              <w:left w:w="108" w:type="dxa"/>
              <w:bottom w:w="0" w:type="dxa"/>
              <w:right w:w="108" w:type="dxa"/>
            </w:tcMar>
          </w:tcPr>
          <w:p w14:paraId="4F6EF62E" w14:textId="7A5A645F" w:rsidR="009051E3" w:rsidRPr="005F5BBE" w:rsidRDefault="005F5BBE" w:rsidP="009051E3">
            <w:pPr>
              <w:spacing w:before="40" w:after="0" w:line="240" w:lineRule="auto"/>
              <w:rPr>
                <w:rFonts w:ascii="Arial" w:eastAsia="Times New Roman" w:hAnsi="Arial" w:cs="Arial"/>
                <w:b/>
                <w:bCs/>
                <w:color w:val="000000"/>
                <w:spacing w:val="-5"/>
                <w:sz w:val="24"/>
                <w:szCs w:val="24"/>
              </w:rPr>
            </w:pPr>
            <w:r w:rsidRPr="005F5BBE">
              <w:rPr>
                <w:rFonts w:ascii="Arial" w:eastAsia="Times New Roman" w:hAnsi="Arial" w:cs="Arial"/>
                <w:b/>
                <w:bCs/>
                <w:color w:val="000000"/>
                <w:spacing w:val="-5"/>
                <w:sz w:val="24"/>
                <w:szCs w:val="24"/>
              </w:rPr>
              <w:t>[</w:t>
            </w:r>
            <w:r w:rsidR="009051E3" w:rsidRPr="005F5BBE">
              <w:rPr>
                <w:rFonts w:ascii="Arial" w:eastAsia="Times New Roman" w:hAnsi="Arial" w:cs="Arial"/>
                <w:b/>
                <w:bCs/>
                <w:color w:val="000000"/>
                <w:spacing w:val="-5"/>
                <w:sz w:val="24"/>
                <w:szCs w:val="24"/>
              </w:rPr>
              <w:t>252.227-7040</w:t>
            </w:r>
            <w:r w:rsidRPr="005F5BBE">
              <w:rPr>
                <w:rFonts w:ascii="Arial" w:eastAsia="Times New Roman" w:hAnsi="Arial" w:cs="Arial"/>
                <w:b/>
                <w:bCs/>
                <w:color w:val="000000"/>
                <w:spacing w:val="-5"/>
                <w:sz w:val="24"/>
                <w:szCs w:val="24"/>
              </w:rPr>
              <w:t>]</w:t>
            </w:r>
          </w:p>
        </w:tc>
        <w:tc>
          <w:tcPr>
            <w:tcW w:w="26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E731FA" w14:textId="65F2C31F" w:rsidR="009051E3" w:rsidRPr="005F5BBE" w:rsidRDefault="005F5BBE" w:rsidP="009051E3">
            <w:pPr>
              <w:spacing w:before="40" w:after="0" w:line="240" w:lineRule="auto"/>
              <w:rPr>
                <w:rFonts w:ascii="Arial" w:eastAsia="Times New Roman" w:hAnsi="Arial" w:cs="Arial"/>
                <w:b/>
                <w:bCs/>
                <w:color w:val="000000"/>
                <w:spacing w:val="-5"/>
                <w:sz w:val="24"/>
                <w:szCs w:val="24"/>
              </w:rPr>
            </w:pPr>
            <w:r w:rsidRPr="005F5BBE">
              <w:rPr>
                <w:rFonts w:ascii="Arial" w:eastAsia="Times New Roman" w:hAnsi="Arial" w:cs="Arial"/>
                <w:b/>
                <w:bCs/>
                <w:color w:val="000000"/>
                <w:spacing w:val="-5"/>
                <w:sz w:val="24"/>
                <w:szCs w:val="24"/>
              </w:rPr>
              <w:t>[</w:t>
            </w:r>
            <w:r w:rsidR="009051E3" w:rsidRPr="005F5BBE">
              <w:rPr>
                <w:rFonts w:ascii="Arial" w:eastAsia="Times New Roman" w:hAnsi="Arial" w:cs="Arial"/>
                <w:b/>
                <w:bCs/>
                <w:color w:val="000000"/>
                <w:spacing w:val="-5"/>
                <w:sz w:val="24"/>
                <w:szCs w:val="24"/>
              </w:rPr>
              <w:t>0750-0010</w:t>
            </w:r>
            <w:r w:rsidRPr="005F5BBE">
              <w:rPr>
                <w:rFonts w:ascii="Arial" w:eastAsia="Times New Roman" w:hAnsi="Arial" w:cs="Arial"/>
                <w:b/>
                <w:bCs/>
                <w:color w:val="000000"/>
                <w:spacing w:val="-5"/>
                <w:sz w:val="24"/>
                <w:szCs w:val="24"/>
              </w:rPr>
              <w:t>]</w:t>
            </w:r>
          </w:p>
        </w:tc>
      </w:tr>
      <w:tr w:rsidR="009051E3" w:rsidRPr="009051E3" w14:paraId="488DCF3D" w14:textId="77777777" w:rsidTr="009051E3">
        <w:tc>
          <w:tcPr>
            <w:tcW w:w="2605" w:type="dxa"/>
            <w:tcBorders>
              <w:top w:val="nil"/>
              <w:left w:val="single" w:sz="8" w:space="0" w:color="auto"/>
              <w:bottom w:val="single" w:sz="8" w:space="0" w:color="auto"/>
              <w:right w:val="nil"/>
            </w:tcBorders>
            <w:tcMar>
              <w:top w:w="0" w:type="dxa"/>
              <w:left w:w="108" w:type="dxa"/>
              <w:bottom w:w="0" w:type="dxa"/>
              <w:right w:w="108" w:type="dxa"/>
            </w:tcMar>
          </w:tcPr>
          <w:p w14:paraId="0F973A7D" w14:textId="4F924A2E" w:rsidR="009051E3" w:rsidRPr="005F5BBE" w:rsidRDefault="005F5BBE" w:rsidP="009051E3">
            <w:pPr>
              <w:spacing w:before="40" w:after="0" w:line="240" w:lineRule="auto"/>
              <w:rPr>
                <w:rFonts w:ascii="Arial" w:eastAsia="Times New Roman" w:hAnsi="Arial" w:cs="Arial"/>
                <w:b/>
                <w:bCs/>
                <w:color w:val="000000"/>
                <w:spacing w:val="-5"/>
                <w:sz w:val="24"/>
                <w:szCs w:val="24"/>
              </w:rPr>
            </w:pPr>
            <w:r w:rsidRPr="005F5BBE">
              <w:rPr>
                <w:rFonts w:ascii="Arial" w:eastAsia="Times New Roman" w:hAnsi="Arial" w:cs="Arial"/>
                <w:b/>
                <w:bCs/>
                <w:color w:val="000000"/>
                <w:spacing w:val="-5"/>
                <w:sz w:val="24"/>
                <w:szCs w:val="24"/>
              </w:rPr>
              <w:t>[</w:t>
            </w:r>
            <w:r w:rsidR="009051E3" w:rsidRPr="005F5BBE">
              <w:rPr>
                <w:rFonts w:ascii="Arial" w:eastAsia="Times New Roman" w:hAnsi="Arial" w:cs="Arial"/>
                <w:b/>
                <w:bCs/>
                <w:color w:val="000000"/>
                <w:spacing w:val="-5"/>
                <w:sz w:val="24"/>
                <w:szCs w:val="24"/>
              </w:rPr>
              <w:t>252.227-7041</w:t>
            </w:r>
            <w:r w:rsidRPr="005F5BBE">
              <w:rPr>
                <w:rFonts w:ascii="Arial" w:eastAsia="Times New Roman" w:hAnsi="Arial" w:cs="Arial"/>
                <w:b/>
                <w:bCs/>
                <w:color w:val="000000"/>
                <w:spacing w:val="-5"/>
                <w:sz w:val="24"/>
                <w:szCs w:val="24"/>
              </w:rPr>
              <w:t>]</w:t>
            </w:r>
          </w:p>
        </w:tc>
        <w:tc>
          <w:tcPr>
            <w:tcW w:w="26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AB7AAB" w14:textId="11DD3D6E" w:rsidR="009051E3" w:rsidRPr="005F5BBE" w:rsidRDefault="005F5BBE" w:rsidP="009051E3">
            <w:pPr>
              <w:spacing w:before="40" w:after="0" w:line="240" w:lineRule="auto"/>
              <w:rPr>
                <w:rFonts w:ascii="Arial" w:eastAsia="Times New Roman" w:hAnsi="Arial" w:cs="Arial"/>
                <w:b/>
                <w:bCs/>
                <w:color w:val="000000"/>
                <w:spacing w:val="-5"/>
                <w:sz w:val="24"/>
                <w:szCs w:val="24"/>
              </w:rPr>
            </w:pPr>
            <w:r w:rsidRPr="005F5BBE">
              <w:rPr>
                <w:rFonts w:ascii="Arial" w:eastAsia="Times New Roman" w:hAnsi="Arial" w:cs="Arial"/>
                <w:b/>
                <w:bCs/>
                <w:color w:val="000000"/>
                <w:spacing w:val="-5"/>
                <w:sz w:val="24"/>
                <w:szCs w:val="24"/>
              </w:rPr>
              <w:t>[</w:t>
            </w:r>
            <w:r w:rsidR="009051E3" w:rsidRPr="005F5BBE">
              <w:rPr>
                <w:rFonts w:ascii="Arial" w:eastAsia="Times New Roman" w:hAnsi="Arial" w:cs="Arial"/>
                <w:b/>
                <w:bCs/>
                <w:color w:val="000000"/>
                <w:spacing w:val="-5"/>
                <w:sz w:val="24"/>
                <w:szCs w:val="24"/>
              </w:rPr>
              <w:t>0750-0010</w:t>
            </w:r>
            <w:r w:rsidRPr="005F5BBE">
              <w:rPr>
                <w:rFonts w:ascii="Arial" w:eastAsia="Times New Roman" w:hAnsi="Arial" w:cs="Arial"/>
                <w:b/>
                <w:bCs/>
                <w:color w:val="000000"/>
                <w:spacing w:val="-5"/>
                <w:sz w:val="24"/>
                <w:szCs w:val="24"/>
              </w:rPr>
              <w:t>]</w:t>
            </w:r>
          </w:p>
        </w:tc>
      </w:tr>
      <w:tr w:rsidR="009051E3" w:rsidRPr="009051E3" w14:paraId="1B2B63CE" w14:textId="77777777" w:rsidTr="009051E3">
        <w:tc>
          <w:tcPr>
            <w:tcW w:w="2605" w:type="dxa"/>
            <w:tcBorders>
              <w:top w:val="nil"/>
              <w:left w:val="single" w:sz="8" w:space="0" w:color="auto"/>
              <w:bottom w:val="single" w:sz="8" w:space="0" w:color="auto"/>
              <w:right w:val="nil"/>
            </w:tcBorders>
            <w:tcMar>
              <w:top w:w="0" w:type="dxa"/>
              <w:left w:w="108" w:type="dxa"/>
              <w:bottom w:w="0" w:type="dxa"/>
              <w:right w:w="108" w:type="dxa"/>
            </w:tcMar>
            <w:hideMark/>
          </w:tcPr>
          <w:p w14:paraId="474D585A" w14:textId="5F42D6EA" w:rsidR="009051E3" w:rsidRPr="009051E3" w:rsidRDefault="009051E3" w:rsidP="009051E3">
            <w:pPr>
              <w:spacing w:before="40" w:after="0" w:line="240" w:lineRule="auto"/>
              <w:rPr>
                <w:rFonts w:ascii="Century Schoolbook" w:eastAsia="Times New Roman" w:hAnsi="Century Schoolbook" w:cs="Times New Roman"/>
                <w:color w:val="000000"/>
                <w:spacing w:val="-5"/>
                <w:sz w:val="24"/>
                <w:szCs w:val="24"/>
              </w:rPr>
            </w:pPr>
            <w:r>
              <w:rPr>
                <w:rFonts w:ascii="Arial" w:eastAsia="Times New Roman" w:hAnsi="Arial" w:cs="Arial"/>
                <w:color w:val="000000"/>
                <w:spacing w:val="-5"/>
                <w:sz w:val="24"/>
                <w:szCs w:val="24"/>
              </w:rPr>
              <w:t>* * * * *</w:t>
            </w:r>
          </w:p>
        </w:tc>
        <w:tc>
          <w:tcPr>
            <w:tcW w:w="2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435546" w14:textId="511506E5" w:rsidR="009051E3" w:rsidRPr="009051E3" w:rsidRDefault="009051E3" w:rsidP="009051E3">
            <w:pPr>
              <w:spacing w:before="40" w:after="0" w:line="240" w:lineRule="auto"/>
              <w:rPr>
                <w:rFonts w:ascii="Century Schoolbook" w:eastAsia="Times New Roman" w:hAnsi="Century Schoolbook" w:cs="Times New Roman"/>
                <w:color w:val="000000"/>
                <w:spacing w:val="-5"/>
                <w:sz w:val="24"/>
                <w:szCs w:val="24"/>
              </w:rPr>
            </w:pPr>
            <w:r>
              <w:rPr>
                <w:rFonts w:ascii="Arial" w:eastAsia="Times New Roman" w:hAnsi="Arial" w:cs="Arial"/>
                <w:color w:val="000000"/>
                <w:spacing w:val="-5"/>
                <w:sz w:val="24"/>
                <w:szCs w:val="24"/>
              </w:rPr>
              <w:t>* * * * *</w:t>
            </w:r>
          </w:p>
        </w:tc>
      </w:tr>
    </w:tbl>
    <w:p w14:paraId="12958301" w14:textId="77777777" w:rsidR="00F34065" w:rsidRDefault="00F34065" w:rsidP="00A34A97">
      <w:pPr>
        <w:pStyle w:val="DFARS"/>
        <w:rPr>
          <w:rFonts w:ascii="Arial" w:hAnsi="Arial" w:cs="Arial"/>
          <w:bCs/>
        </w:rPr>
      </w:pPr>
    </w:p>
    <w:p w14:paraId="780797F5" w14:textId="2A0CA796" w:rsidR="009051E3" w:rsidRDefault="00A82E9A" w:rsidP="00A34A97">
      <w:pPr>
        <w:pStyle w:val="DFARS"/>
        <w:rPr>
          <w:rFonts w:ascii="Arial" w:hAnsi="Arial" w:cs="Arial"/>
          <w:bCs/>
        </w:rPr>
      </w:pPr>
      <w:r>
        <w:rPr>
          <w:rFonts w:ascii="Arial" w:hAnsi="Arial" w:cs="Arial"/>
          <w:bCs/>
        </w:rPr>
        <w:t>* * * * *</w:t>
      </w:r>
    </w:p>
    <w:p w14:paraId="28E09A38" w14:textId="77777777" w:rsidR="00A82E9A" w:rsidRDefault="00A82E9A" w:rsidP="00A34A97">
      <w:pPr>
        <w:pStyle w:val="DFARS"/>
        <w:rPr>
          <w:rFonts w:ascii="Arial" w:hAnsi="Arial" w:cs="Arial"/>
          <w:bCs/>
        </w:rPr>
      </w:pPr>
    </w:p>
    <w:p w14:paraId="49CEC17F" w14:textId="45C69A01" w:rsidR="005F5BBE" w:rsidRDefault="005F5BBE" w:rsidP="00A34A97">
      <w:pPr>
        <w:pStyle w:val="DFARS"/>
        <w:rPr>
          <w:rFonts w:ascii="Arial" w:hAnsi="Arial" w:cs="Arial"/>
          <w:b/>
        </w:rPr>
      </w:pPr>
      <w:r>
        <w:rPr>
          <w:rFonts w:ascii="Arial" w:hAnsi="Arial" w:cs="Arial"/>
          <w:b/>
        </w:rPr>
        <w:t>PGI 225—FOREIGN ACQUISITION</w:t>
      </w:r>
    </w:p>
    <w:p w14:paraId="2B99A4A0" w14:textId="77777777" w:rsidR="005F5BBE" w:rsidRDefault="005F5BBE" w:rsidP="00A34A97">
      <w:pPr>
        <w:pStyle w:val="DFARS"/>
        <w:rPr>
          <w:rFonts w:ascii="Arial" w:hAnsi="Arial" w:cs="Arial"/>
          <w:b/>
        </w:rPr>
      </w:pPr>
    </w:p>
    <w:p w14:paraId="7B32451E" w14:textId="77777777" w:rsidR="00C917C7" w:rsidRDefault="00C917C7" w:rsidP="00C917C7">
      <w:pPr>
        <w:pStyle w:val="DFARS"/>
        <w:rPr>
          <w:rFonts w:ascii="Arial" w:hAnsi="Arial" w:cs="Arial"/>
          <w:b/>
        </w:rPr>
      </w:pPr>
      <w:r>
        <w:rPr>
          <w:rFonts w:ascii="Arial" w:hAnsi="Arial" w:cs="Arial"/>
          <w:b/>
        </w:rPr>
        <w:t>* * * * *</w:t>
      </w:r>
    </w:p>
    <w:p w14:paraId="529286E2" w14:textId="77777777" w:rsidR="00C917C7" w:rsidRDefault="00C917C7" w:rsidP="00C917C7">
      <w:pPr>
        <w:pStyle w:val="DFARS"/>
        <w:rPr>
          <w:rFonts w:ascii="Arial" w:hAnsi="Arial" w:cs="Arial"/>
          <w:b/>
        </w:rPr>
      </w:pPr>
    </w:p>
    <w:p w14:paraId="5A4D7706" w14:textId="77777777" w:rsidR="00C917C7" w:rsidRDefault="00C917C7" w:rsidP="00C917C7">
      <w:pPr>
        <w:pStyle w:val="DFARS"/>
        <w:rPr>
          <w:rFonts w:ascii="Arial" w:hAnsi="Arial" w:cs="Arial"/>
          <w:b/>
        </w:rPr>
      </w:pPr>
      <w:r>
        <w:rPr>
          <w:rFonts w:ascii="Arial" w:hAnsi="Arial" w:cs="Arial"/>
          <w:b/>
        </w:rPr>
        <w:t>PGI 225.3—CONTRACTS PERFORMED OUTSIDE THE UNITED STATES</w:t>
      </w:r>
    </w:p>
    <w:p w14:paraId="68DC02BC" w14:textId="77777777" w:rsidR="00C917C7" w:rsidRDefault="00C917C7" w:rsidP="00C917C7">
      <w:pPr>
        <w:pStyle w:val="DFARS"/>
        <w:rPr>
          <w:rFonts w:ascii="Arial" w:hAnsi="Arial" w:cs="Arial"/>
          <w:b/>
        </w:rPr>
      </w:pPr>
    </w:p>
    <w:p w14:paraId="5B61D32B" w14:textId="77777777" w:rsidR="00C917C7" w:rsidRDefault="00C917C7" w:rsidP="00C917C7">
      <w:pPr>
        <w:pStyle w:val="DFARS"/>
        <w:rPr>
          <w:rFonts w:ascii="Arial" w:hAnsi="Arial" w:cs="Arial"/>
          <w:b/>
        </w:rPr>
      </w:pPr>
      <w:r>
        <w:rPr>
          <w:rFonts w:ascii="Arial" w:hAnsi="Arial" w:cs="Arial"/>
          <w:b/>
        </w:rPr>
        <w:t>* * * * *</w:t>
      </w:r>
    </w:p>
    <w:p w14:paraId="52EEEF89" w14:textId="77777777" w:rsidR="00C917C7" w:rsidRDefault="00C917C7" w:rsidP="00C917C7">
      <w:pPr>
        <w:pStyle w:val="DFARS"/>
        <w:rPr>
          <w:rFonts w:ascii="Arial" w:hAnsi="Arial" w:cs="Arial"/>
          <w:b/>
        </w:rPr>
      </w:pPr>
    </w:p>
    <w:p w14:paraId="33684F95" w14:textId="77777777" w:rsidR="00C917C7" w:rsidRDefault="00C917C7" w:rsidP="00C917C7">
      <w:pPr>
        <w:pStyle w:val="DFARS"/>
        <w:rPr>
          <w:rFonts w:ascii="Arial" w:hAnsi="Arial" w:cs="Arial"/>
          <w:b/>
        </w:rPr>
      </w:pPr>
      <w:r>
        <w:rPr>
          <w:rFonts w:ascii="Arial" w:hAnsi="Arial" w:cs="Arial"/>
          <w:b/>
        </w:rPr>
        <w:t>PGI 225.371-3 Government support.</w:t>
      </w:r>
    </w:p>
    <w:p w14:paraId="43C1E7C9" w14:textId="77777777" w:rsidR="00C917C7" w:rsidRDefault="00C917C7" w:rsidP="00C917C7">
      <w:pPr>
        <w:pStyle w:val="DFARS"/>
        <w:rPr>
          <w:rFonts w:ascii="Arial" w:hAnsi="Arial" w:cs="Arial"/>
          <w:bCs/>
        </w:rPr>
      </w:pPr>
    </w:p>
    <w:p w14:paraId="00E5F000" w14:textId="77777777" w:rsidR="00C917C7" w:rsidRDefault="00C917C7" w:rsidP="00C917C7">
      <w:pPr>
        <w:pStyle w:val="DFARS"/>
        <w:rPr>
          <w:rFonts w:ascii="Arial" w:hAnsi="Arial" w:cs="Arial"/>
          <w:bCs/>
        </w:rPr>
      </w:pPr>
      <w:r>
        <w:rPr>
          <w:rFonts w:ascii="Arial" w:hAnsi="Arial" w:cs="Arial"/>
          <w:bCs/>
        </w:rPr>
        <w:t>* * * * *</w:t>
      </w:r>
    </w:p>
    <w:p w14:paraId="1034EBA5" w14:textId="77777777" w:rsidR="00C917C7" w:rsidRDefault="00C917C7" w:rsidP="00C917C7">
      <w:pPr>
        <w:pStyle w:val="DFARS"/>
        <w:rPr>
          <w:rFonts w:ascii="Arial" w:hAnsi="Arial" w:cs="Arial"/>
          <w:bCs/>
        </w:rPr>
      </w:pPr>
    </w:p>
    <w:p w14:paraId="5940E2E5" w14:textId="77777777" w:rsidR="00C917C7" w:rsidRDefault="00C917C7" w:rsidP="00C917C7">
      <w:pPr>
        <w:pStyle w:val="DFARS"/>
        <w:rPr>
          <w:rFonts w:ascii="Arial" w:hAnsi="Arial" w:cs="Arial"/>
          <w:bCs/>
        </w:rPr>
      </w:pPr>
      <w:r>
        <w:rPr>
          <w:rFonts w:ascii="Arial" w:hAnsi="Arial" w:cs="Arial"/>
          <w:bCs/>
        </w:rPr>
        <w:tab/>
        <w:t>(e)  * * *</w:t>
      </w:r>
    </w:p>
    <w:p w14:paraId="294D5B40" w14:textId="77777777" w:rsidR="00C917C7" w:rsidRDefault="00C917C7" w:rsidP="00C917C7">
      <w:pPr>
        <w:pStyle w:val="DFARS"/>
        <w:rPr>
          <w:rFonts w:ascii="Arial" w:hAnsi="Arial" w:cs="Arial"/>
          <w:bCs/>
        </w:rPr>
      </w:pPr>
    </w:p>
    <w:p w14:paraId="17B25F33" w14:textId="77777777" w:rsidR="00C917C7" w:rsidRPr="00AA6AAC" w:rsidRDefault="00C917C7" w:rsidP="00C917C7">
      <w:pPr>
        <w:pStyle w:val="DFARS"/>
        <w:rPr>
          <w:rFonts w:ascii="Arial" w:hAnsi="Arial" w:cs="Arial"/>
          <w:b/>
        </w:rPr>
      </w:pPr>
      <w:r>
        <w:rPr>
          <w:rFonts w:ascii="Arial" w:hAnsi="Arial" w:cs="Arial"/>
          <w:bCs/>
        </w:rPr>
        <w:tab/>
      </w:r>
      <w:r>
        <w:rPr>
          <w:rFonts w:ascii="Arial" w:hAnsi="Arial" w:cs="Arial"/>
          <w:bCs/>
        </w:rPr>
        <w:tab/>
        <w:t xml:space="preserve">(iii)  </w:t>
      </w:r>
      <w:r>
        <w:rPr>
          <w:rFonts w:ascii="Arial" w:hAnsi="Arial" w:cs="Arial"/>
          <w:b/>
        </w:rPr>
        <w:t>[</w:t>
      </w:r>
      <w:r w:rsidRPr="00AA6AAC">
        <w:rPr>
          <w:rFonts w:ascii="Arial" w:hAnsi="Arial" w:cs="Arial"/>
          <w:b/>
          <w:i/>
          <w:iCs/>
        </w:rPr>
        <w:t>Approved, standard DoD format for LOA</w:t>
      </w:r>
      <w:r>
        <w:rPr>
          <w:rFonts w:ascii="Arial" w:hAnsi="Arial" w:cs="Arial"/>
          <w:b/>
        </w:rPr>
        <w:t>.]</w:t>
      </w:r>
      <w:r w:rsidRPr="00AA6AAC">
        <w:rPr>
          <w:rFonts w:ascii="Arial" w:hAnsi="Arial" w:cs="Arial"/>
          <w:bCs/>
          <w:strike/>
        </w:rPr>
        <w:t>Approved, standard DoD format for LOA:</w:t>
      </w:r>
      <w:r w:rsidRPr="00AA6AAC">
        <w:rPr>
          <w:rFonts w:ascii="Arial" w:hAnsi="Arial" w:cs="Arial"/>
          <w:bCs/>
        </w:rPr>
        <w:t xml:space="preserve"> </w:t>
      </w:r>
      <w:r>
        <w:rPr>
          <w:rFonts w:ascii="Arial" w:hAnsi="Arial" w:cs="Arial"/>
          <w:bCs/>
        </w:rPr>
        <w:t xml:space="preserve"> </w:t>
      </w:r>
      <w:r w:rsidRPr="00AA6AAC">
        <w:rPr>
          <w:rFonts w:ascii="Arial" w:hAnsi="Arial" w:cs="Arial"/>
          <w:bCs/>
          <w:strike/>
        </w:rPr>
        <w:t>(</w:t>
      </w:r>
      <w:r w:rsidRPr="00AA6AAC">
        <w:rPr>
          <w:rFonts w:ascii="Arial" w:hAnsi="Arial" w:cs="Arial"/>
          <w:bCs/>
        </w:rPr>
        <w:t xml:space="preserve">See sample LOA, Business Rules for the Synchronized </w:t>
      </w:r>
      <w:proofErr w:type="spellStart"/>
      <w:r w:rsidRPr="00AA6AAC">
        <w:rPr>
          <w:rFonts w:ascii="Arial" w:hAnsi="Arial" w:cs="Arial"/>
          <w:bCs/>
        </w:rPr>
        <w:t>Predeployment</w:t>
      </w:r>
      <w:proofErr w:type="spellEnd"/>
      <w:r w:rsidRPr="00AA6AAC">
        <w:rPr>
          <w:rFonts w:ascii="Arial" w:hAnsi="Arial" w:cs="Arial"/>
          <w:bCs/>
        </w:rPr>
        <w:t xml:space="preserve"> and Operational Tracker, at </w:t>
      </w:r>
      <w:r w:rsidRPr="00AA6AAC">
        <w:rPr>
          <w:rFonts w:ascii="Arial" w:hAnsi="Arial" w:cs="Arial"/>
          <w:bCs/>
          <w:strike/>
        </w:rPr>
        <w:t>http://www.acq.osd.mil/log/PS/ctr_mgt_accountability.html</w:t>
      </w:r>
      <w:r>
        <w:rPr>
          <w:rFonts w:ascii="Arial" w:hAnsi="Arial" w:cs="Arial"/>
          <w:b/>
        </w:rPr>
        <w:t>[</w:t>
      </w:r>
      <w:r w:rsidRPr="00AA6AAC">
        <w:rPr>
          <w:rFonts w:ascii="Arial" w:hAnsi="Arial" w:cs="Arial"/>
          <w:b/>
          <w:i/>
          <w:iCs/>
        </w:rPr>
        <w:t>h</w:t>
      </w:r>
      <w:r w:rsidRPr="00AA6AAC">
        <w:rPr>
          <w:rFonts w:ascii="Arial" w:eastAsia="Arial" w:hAnsi="Arial" w:cs="Arial"/>
          <w:b/>
          <w:i/>
          <w:iCs/>
        </w:rPr>
        <w:t>tt</w:t>
      </w:r>
      <w:r w:rsidRPr="00AA6AAC">
        <w:rPr>
          <w:rFonts w:ascii="Arial" w:hAnsi="Arial" w:cs="Arial"/>
          <w:b/>
          <w:i/>
          <w:iCs/>
        </w:rPr>
        <w:t>ps://www.acq.osd.mil/asds/log/cso/ocs/spot.html</w:t>
      </w:r>
      <w:r>
        <w:rPr>
          <w:rFonts w:ascii="Arial" w:hAnsi="Arial" w:cs="Arial"/>
          <w:b/>
        </w:rPr>
        <w:t>.]</w:t>
      </w:r>
    </w:p>
    <w:p w14:paraId="30FADCCD" w14:textId="77777777" w:rsidR="00C917C7" w:rsidRPr="00AA6AAC" w:rsidRDefault="00C917C7" w:rsidP="00C917C7">
      <w:pPr>
        <w:pStyle w:val="DFARS"/>
        <w:rPr>
          <w:rFonts w:ascii="Arial" w:hAnsi="Arial" w:cs="Arial"/>
          <w:bCs/>
        </w:rPr>
      </w:pPr>
    </w:p>
    <w:p w14:paraId="71082986" w14:textId="4B0D3AC3" w:rsidR="005F5BBE" w:rsidRDefault="005F5BBE" w:rsidP="00A34A97">
      <w:pPr>
        <w:pStyle w:val="DFARS"/>
        <w:rPr>
          <w:rFonts w:ascii="Arial" w:hAnsi="Arial" w:cs="Arial"/>
          <w:b/>
        </w:rPr>
      </w:pPr>
      <w:r>
        <w:rPr>
          <w:rFonts w:ascii="Arial" w:hAnsi="Arial" w:cs="Arial"/>
          <w:b/>
        </w:rPr>
        <w:t>* * * * *</w:t>
      </w:r>
    </w:p>
    <w:p w14:paraId="19EFA49C" w14:textId="77777777" w:rsidR="005F5BBE" w:rsidRPr="005F5BBE" w:rsidRDefault="005F5BBE" w:rsidP="005F5BBE">
      <w:pPr>
        <w:pStyle w:val="DFARS"/>
        <w:rPr>
          <w:rFonts w:ascii="Arial" w:hAnsi="Arial" w:cs="Arial"/>
          <w:b/>
        </w:rPr>
      </w:pPr>
    </w:p>
    <w:p w14:paraId="2E8C81AE" w14:textId="5D283D2E" w:rsidR="005F5BBE" w:rsidRDefault="005F5BBE" w:rsidP="005F5BBE">
      <w:pPr>
        <w:pStyle w:val="DFARS"/>
        <w:rPr>
          <w:rFonts w:ascii="Arial" w:hAnsi="Arial" w:cs="Arial"/>
          <w:b/>
        </w:rPr>
      </w:pPr>
      <w:r w:rsidRPr="005F5BBE">
        <w:rPr>
          <w:rFonts w:ascii="Arial" w:hAnsi="Arial" w:cs="Arial"/>
          <w:b/>
        </w:rPr>
        <w:t>PGI 225.8</w:t>
      </w:r>
      <w:r>
        <w:rPr>
          <w:rFonts w:ascii="Arial" w:hAnsi="Arial" w:cs="Arial"/>
          <w:b/>
        </w:rPr>
        <w:t>—</w:t>
      </w:r>
      <w:r w:rsidRPr="005F5BBE">
        <w:rPr>
          <w:rFonts w:ascii="Arial" w:hAnsi="Arial" w:cs="Arial"/>
          <w:b/>
        </w:rPr>
        <w:t>OTHER INTERNATIONAL AGREEMENTS AND COORDINATION</w:t>
      </w:r>
    </w:p>
    <w:p w14:paraId="3CBFA2FF" w14:textId="77777777" w:rsidR="005F5BBE" w:rsidRDefault="005F5BBE" w:rsidP="005F5BBE">
      <w:pPr>
        <w:pStyle w:val="DFARS"/>
        <w:rPr>
          <w:rFonts w:ascii="Arial" w:hAnsi="Arial" w:cs="Arial"/>
          <w:b/>
        </w:rPr>
      </w:pPr>
    </w:p>
    <w:p w14:paraId="0E421416" w14:textId="72417EEF" w:rsidR="005F5BBE" w:rsidRDefault="005F5BBE" w:rsidP="005F5BBE">
      <w:pPr>
        <w:pStyle w:val="DFARS"/>
        <w:rPr>
          <w:rFonts w:ascii="Arial" w:hAnsi="Arial" w:cs="Arial"/>
          <w:b/>
        </w:rPr>
      </w:pPr>
      <w:r>
        <w:rPr>
          <w:rFonts w:ascii="Arial" w:hAnsi="Arial" w:cs="Arial"/>
          <w:b/>
        </w:rPr>
        <w:t>* * * * *</w:t>
      </w:r>
    </w:p>
    <w:p w14:paraId="2134421E" w14:textId="77777777" w:rsidR="005F5BBE" w:rsidRDefault="005F5BBE" w:rsidP="005F5BBE">
      <w:pPr>
        <w:pStyle w:val="DFARS"/>
        <w:rPr>
          <w:rFonts w:ascii="Arial" w:hAnsi="Arial" w:cs="Arial"/>
          <w:b/>
        </w:rPr>
      </w:pPr>
    </w:p>
    <w:p w14:paraId="4AB7EB15" w14:textId="631864F8" w:rsidR="005F5BBE" w:rsidRDefault="005F5BBE" w:rsidP="005F5BBE">
      <w:pPr>
        <w:pStyle w:val="DFARS"/>
        <w:rPr>
          <w:rFonts w:ascii="Arial" w:hAnsi="Arial" w:cs="Arial"/>
          <w:b/>
        </w:rPr>
      </w:pPr>
      <w:r>
        <w:rPr>
          <w:rFonts w:ascii="Arial" w:hAnsi="Arial" w:cs="Arial"/>
          <w:b/>
        </w:rPr>
        <w:lastRenderedPageBreak/>
        <w:t xml:space="preserve">PGI 225.870  </w:t>
      </w:r>
      <w:r w:rsidRPr="005F5BBE">
        <w:rPr>
          <w:rFonts w:ascii="Arial" w:hAnsi="Arial" w:cs="Arial"/>
          <w:b/>
        </w:rPr>
        <w:t>Contracting with Canadian contractors</w:t>
      </w:r>
      <w:r>
        <w:rPr>
          <w:rFonts w:ascii="Arial" w:hAnsi="Arial" w:cs="Arial"/>
          <w:b/>
        </w:rPr>
        <w:t>.</w:t>
      </w:r>
    </w:p>
    <w:p w14:paraId="56FBA426" w14:textId="77777777" w:rsidR="005F5BBE" w:rsidRDefault="005F5BBE" w:rsidP="005F5BBE">
      <w:pPr>
        <w:pStyle w:val="DFARS"/>
        <w:rPr>
          <w:rFonts w:ascii="Arial" w:hAnsi="Arial" w:cs="Arial"/>
          <w:b/>
        </w:rPr>
      </w:pPr>
    </w:p>
    <w:p w14:paraId="20CA1303" w14:textId="341AC205" w:rsidR="005F5BBE" w:rsidRDefault="005F5BBE" w:rsidP="005F5BBE">
      <w:pPr>
        <w:pStyle w:val="DFARS"/>
        <w:rPr>
          <w:rFonts w:ascii="Arial" w:hAnsi="Arial" w:cs="Arial"/>
          <w:b/>
        </w:rPr>
      </w:pPr>
      <w:r>
        <w:rPr>
          <w:rFonts w:ascii="Arial" w:hAnsi="Arial" w:cs="Arial"/>
          <w:b/>
        </w:rPr>
        <w:t>* * * * *</w:t>
      </w:r>
    </w:p>
    <w:p w14:paraId="58FB08E1" w14:textId="77777777" w:rsidR="005F5BBE" w:rsidRDefault="005F5BBE" w:rsidP="005F5BBE">
      <w:pPr>
        <w:pStyle w:val="DFARS"/>
        <w:rPr>
          <w:rFonts w:ascii="Arial" w:hAnsi="Arial" w:cs="Arial"/>
          <w:b/>
        </w:rPr>
      </w:pPr>
    </w:p>
    <w:p w14:paraId="1ED2EC29" w14:textId="77777777" w:rsidR="005F5BBE" w:rsidRPr="005F5BBE" w:rsidRDefault="005F5BBE" w:rsidP="005F5BBE">
      <w:pPr>
        <w:pStyle w:val="DFARS"/>
        <w:rPr>
          <w:rFonts w:ascii="Arial" w:hAnsi="Arial" w:cs="Arial"/>
          <w:b/>
        </w:rPr>
      </w:pPr>
      <w:r>
        <w:rPr>
          <w:rFonts w:ascii="Arial" w:hAnsi="Arial" w:cs="Arial"/>
          <w:b/>
        </w:rPr>
        <w:t xml:space="preserve">PGI 225.870-5  </w:t>
      </w:r>
      <w:r w:rsidRPr="005F5BBE">
        <w:rPr>
          <w:rFonts w:ascii="Arial" w:hAnsi="Arial" w:cs="Arial"/>
          <w:b/>
        </w:rPr>
        <w:t>Contract administration.</w:t>
      </w:r>
    </w:p>
    <w:p w14:paraId="1CBAA708" w14:textId="77777777" w:rsidR="005F5BBE" w:rsidRPr="005F5BBE" w:rsidRDefault="005F5BBE" w:rsidP="005F5BBE">
      <w:pPr>
        <w:pStyle w:val="DFARS"/>
        <w:rPr>
          <w:rFonts w:ascii="Arial" w:hAnsi="Arial" w:cs="Arial"/>
          <w:b/>
        </w:rPr>
      </w:pPr>
    </w:p>
    <w:p w14:paraId="1D435BF2" w14:textId="2FDAC7C5" w:rsidR="005F5BBE" w:rsidRPr="005F5BBE" w:rsidRDefault="005F5BBE" w:rsidP="005F5BBE">
      <w:pPr>
        <w:pStyle w:val="DFARS"/>
        <w:rPr>
          <w:rFonts w:ascii="Arial" w:hAnsi="Arial" w:cs="Arial"/>
          <w:bCs/>
        </w:rPr>
      </w:pPr>
      <w:r w:rsidRPr="005F5BBE">
        <w:rPr>
          <w:rFonts w:ascii="Arial" w:hAnsi="Arial" w:cs="Arial"/>
          <w:bCs/>
        </w:rPr>
        <w:tab/>
        <w:t xml:space="preserve">(1)  Assign contract administration in accordance with DFARS </w:t>
      </w:r>
      <w:r w:rsidR="00470F7F">
        <w:rPr>
          <w:rFonts w:ascii="Arial" w:hAnsi="Arial" w:cs="Arial"/>
          <w:b/>
        </w:rPr>
        <w:t>[p]</w:t>
      </w:r>
      <w:r w:rsidRPr="00470F7F">
        <w:rPr>
          <w:rFonts w:ascii="Arial" w:hAnsi="Arial" w:cs="Arial"/>
          <w:bCs/>
          <w:strike/>
        </w:rPr>
        <w:t>P</w:t>
      </w:r>
      <w:r w:rsidRPr="005F5BBE">
        <w:rPr>
          <w:rFonts w:ascii="Arial" w:hAnsi="Arial" w:cs="Arial"/>
          <w:bCs/>
        </w:rPr>
        <w:t>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p w14:paraId="016905E1" w14:textId="77777777" w:rsidR="005F5BBE" w:rsidRPr="005F5BBE" w:rsidRDefault="005F5BBE" w:rsidP="005F5BBE">
      <w:pPr>
        <w:pStyle w:val="DFARS"/>
        <w:rPr>
          <w:rFonts w:ascii="Arial" w:hAnsi="Arial" w:cs="Arial"/>
          <w:bCs/>
        </w:rPr>
      </w:pPr>
    </w:p>
    <w:p w14:paraId="35132C41" w14:textId="77777777" w:rsidR="005F5BBE" w:rsidRPr="005F5BBE" w:rsidRDefault="005F5BBE" w:rsidP="005F5BBE">
      <w:pPr>
        <w:pStyle w:val="DFARS"/>
        <w:rPr>
          <w:rFonts w:ascii="Arial" w:hAnsi="Arial" w:cs="Arial"/>
          <w:bCs/>
        </w:rPr>
      </w:pPr>
      <w:r w:rsidRPr="005F5BBE">
        <w:rPr>
          <w:rFonts w:ascii="Arial" w:hAnsi="Arial" w:cs="Arial"/>
          <w:bCs/>
        </w:rPr>
        <w:t>DFAS Columbus Center</w:t>
      </w:r>
    </w:p>
    <w:p w14:paraId="74D65FD8" w14:textId="77777777" w:rsidR="005F5BBE" w:rsidRPr="005F5BBE" w:rsidRDefault="005F5BBE" w:rsidP="005F5BBE">
      <w:pPr>
        <w:pStyle w:val="DFARS"/>
        <w:rPr>
          <w:rFonts w:ascii="Arial" w:hAnsi="Arial" w:cs="Arial"/>
          <w:bCs/>
        </w:rPr>
      </w:pPr>
      <w:r w:rsidRPr="005F5BBE">
        <w:rPr>
          <w:rFonts w:ascii="Arial" w:hAnsi="Arial" w:cs="Arial"/>
          <w:bCs/>
        </w:rPr>
        <w:t>DFAS-CO</w:t>
      </w:r>
      <w:r w:rsidRPr="005F5BBE">
        <w:rPr>
          <w:rFonts w:ascii="Arial" w:hAnsi="Arial" w:cs="Arial"/>
          <w:bCs/>
          <w:strike/>
        </w:rPr>
        <w:t>/North Entitlement Operations</w:t>
      </w:r>
    </w:p>
    <w:p w14:paraId="18067570" w14:textId="27D3773A" w:rsidR="005F5BBE" w:rsidRPr="005F5BBE" w:rsidRDefault="005F5BBE" w:rsidP="005F5BBE">
      <w:pPr>
        <w:pStyle w:val="DFARS"/>
        <w:rPr>
          <w:rFonts w:ascii="Arial" w:hAnsi="Arial" w:cs="Arial"/>
          <w:b/>
        </w:rPr>
      </w:pPr>
      <w:r w:rsidRPr="005F5BBE">
        <w:rPr>
          <w:rFonts w:ascii="Arial" w:hAnsi="Arial" w:cs="Arial"/>
          <w:bCs/>
        </w:rPr>
        <w:t xml:space="preserve">PO Box </w:t>
      </w:r>
      <w:r w:rsidRPr="005F5BBE">
        <w:rPr>
          <w:rFonts w:ascii="Arial" w:hAnsi="Arial" w:cs="Arial"/>
          <w:bCs/>
          <w:strike/>
        </w:rPr>
        <w:t>182266</w:t>
      </w:r>
      <w:r>
        <w:rPr>
          <w:rFonts w:ascii="Arial" w:hAnsi="Arial" w:cs="Arial"/>
          <w:b/>
        </w:rPr>
        <w:t>[</w:t>
      </w:r>
      <w:r w:rsidRPr="005F5BBE">
        <w:rPr>
          <w:rFonts w:ascii="Arial" w:hAnsi="Arial" w:cs="Arial"/>
          <w:b/>
        </w:rPr>
        <w:t>182317</w:t>
      </w:r>
      <w:r>
        <w:rPr>
          <w:rFonts w:ascii="Arial" w:hAnsi="Arial" w:cs="Arial"/>
          <w:b/>
        </w:rPr>
        <w:t>]</w:t>
      </w:r>
    </w:p>
    <w:p w14:paraId="4447878A" w14:textId="2C39BC77" w:rsidR="005F5BBE" w:rsidRPr="005F5BBE" w:rsidRDefault="005F5BBE" w:rsidP="005F5BBE">
      <w:pPr>
        <w:pStyle w:val="DFARS"/>
        <w:rPr>
          <w:rFonts w:ascii="Arial" w:hAnsi="Arial" w:cs="Arial"/>
          <w:bCs/>
        </w:rPr>
      </w:pPr>
      <w:r w:rsidRPr="005F5BBE">
        <w:rPr>
          <w:rFonts w:ascii="Arial" w:hAnsi="Arial" w:cs="Arial"/>
          <w:bCs/>
        </w:rPr>
        <w:t>Columbus, OH  43218-</w:t>
      </w:r>
      <w:r w:rsidRPr="005F5BBE">
        <w:rPr>
          <w:rFonts w:ascii="Arial" w:hAnsi="Arial" w:cs="Arial"/>
          <w:bCs/>
          <w:strike/>
        </w:rPr>
        <w:t>2266</w:t>
      </w:r>
      <w:r>
        <w:rPr>
          <w:rFonts w:ascii="Arial" w:hAnsi="Arial" w:cs="Arial"/>
          <w:b/>
        </w:rPr>
        <w:t>[</w:t>
      </w:r>
      <w:r w:rsidRPr="005F5BBE">
        <w:rPr>
          <w:rFonts w:ascii="Arial" w:hAnsi="Arial" w:cs="Arial"/>
          <w:b/>
        </w:rPr>
        <w:t>2317</w:t>
      </w:r>
      <w:r>
        <w:rPr>
          <w:rFonts w:ascii="Arial" w:hAnsi="Arial" w:cs="Arial"/>
          <w:b/>
        </w:rPr>
        <w:t>]</w:t>
      </w:r>
      <w:r w:rsidRPr="005F5BBE">
        <w:rPr>
          <w:rFonts w:ascii="Arial" w:hAnsi="Arial" w:cs="Arial"/>
          <w:bCs/>
        </w:rPr>
        <w:t>.</w:t>
      </w:r>
    </w:p>
    <w:p w14:paraId="07278929" w14:textId="77777777" w:rsidR="005F5BBE" w:rsidRPr="005F5BBE" w:rsidRDefault="005F5BBE" w:rsidP="005F5BBE">
      <w:pPr>
        <w:pStyle w:val="DFARS"/>
        <w:rPr>
          <w:rFonts w:ascii="Arial" w:hAnsi="Arial" w:cs="Arial"/>
          <w:bCs/>
        </w:rPr>
      </w:pPr>
    </w:p>
    <w:p w14:paraId="464AA226" w14:textId="42190AEB" w:rsidR="005F5BBE" w:rsidRDefault="005F5BBE" w:rsidP="00A34A97">
      <w:pPr>
        <w:pStyle w:val="DFARS"/>
        <w:rPr>
          <w:rFonts w:ascii="Arial" w:hAnsi="Arial" w:cs="Arial"/>
          <w:bCs/>
        </w:rPr>
      </w:pPr>
      <w:r>
        <w:rPr>
          <w:rFonts w:ascii="Arial" w:hAnsi="Arial" w:cs="Arial"/>
          <w:bCs/>
        </w:rPr>
        <w:t>* * * * *</w:t>
      </w:r>
    </w:p>
    <w:p w14:paraId="3B8A31B3" w14:textId="77777777" w:rsidR="00FF52BB" w:rsidRDefault="00FF52BB" w:rsidP="00A34A97">
      <w:pPr>
        <w:pStyle w:val="DFARS"/>
        <w:rPr>
          <w:rFonts w:ascii="Arial" w:hAnsi="Arial" w:cs="Arial"/>
          <w:bCs/>
        </w:rPr>
      </w:pPr>
    </w:p>
    <w:p w14:paraId="003DCBF1" w14:textId="77777777" w:rsidR="006017B8" w:rsidRDefault="006017B8" w:rsidP="006017B8">
      <w:pPr>
        <w:pStyle w:val="DFARS"/>
        <w:rPr>
          <w:rFonts w:ascii="Arial" w:hAnsi="Arial" w:cs="Arial"/>
          <w:b/>
        </w:rPr>
      </w:pPr>
      <w:r>
        <w:rPr>
          <w:rFonts w:ascii="Arial" w:hAnsi="Arial" w:cs="Arial"/>
          <w:b/>
        </w:rPr>
        <w:t>PGI</w:t>
      </w:r>
      <w:r w:rsidRPr="00C73336">
        <w:rPr>
          <w:rFonts w:ascii="Arial" w:hAnsi="Arial" w:cs="Arial"/>
          <w:b/>
        </w:rPr>
        <w:t xml:space="preserve"> 2</w:t>
      </w:r>
      <w:r>
        <w:rPr>
          <w:rFonts w:ascii="Arial" w:hAnsi="Arial" w:cs="Arial"/>
          <w:b/>
        </w:rPr>
        <w:t>34</w:t>
      </w:r>
      <w:r w:rsidRPr="00C73336">
        <w:rPr>
          <w:rFonts w:ascii="Arial" w:hAnsi="Arial" w:cs="Arial"/>
          <w:b/>
        </w:rPr>
        <w:t>—</w:t>
      </w:r>
      <w:r w:rsidRPr="001E28F3">
        <w:rPr>
          <w:rFonts w:ascii="Arial" w:hAnsi="Arial" w:cs="Arial"/>
          <w:b/>
        </w:rPr>
        <w:t>MAJOR SYSTEM ACQUISITION</w:t>
      </w:r>
    </w:p>
    <w:p w14:paraId="5DC59AF8" w14:textId="77777777" w:rsidR="006017B8" w:rsidRDefault="006017B8" w:rsidP="006017B8">
      <w:pPr>
        <w:pStyle w:val="DFARS"/>
        <w:rPr>
          <w:rFonts w:ascii="Arial" w:hAnsi="Arial" w:cs="Arial"/>
          <w:b/>
        </w:rPr>
      </w:pPr>
    </w:p>
    <w:p w14:paraId="00D6F256" w14:textId="77777777" w:rsidR="006017B8" w:rsidRPr="00C73336" w:rsidRDefault="006017B8" w:rsidP="006017B8">
      <w:pPr>
        <w:pStyle w:val="DFARS"/>
        <w:rPr>
          <w:rFonts w:ascii="Arial" w:hAnsi="Arial" w:cs="Arial"/>
          <w:b/>
        </w:rPr>
      </w:pPr>
      <w:r>
        <w:rPr>
          <w:rFonts w:ascii="Arial" w:hAnsi="Arial" w:cs="Arial"/>
          <w:b/>
        </w:rPr>
        <w:t>* * * * *</w:t>
      </w:r>
    </w:p>
    <w:p w14:paraId="511B7315" w14:textId="77777777" w:rsidR="006017B8" w:rsidRPr="001E28F3" w:rsidRDefault="006017B8" w:rsidP="006017B8">
      <w:pPr>
        <w:pStyle w:val="DFARS"/>
        <w:rPr>
          <w:rFonts w:ascii="Arial" w:hAnsi="Arial" w:cs="Arial"/>
          <w:bCs/>
        </w:rPr>
      </w:pPr>
    </w:p>
    <w:p w14:paraId="251ABC0E" w14:textId="77777777" w:rsidR="006017B8" w:rsidRPr="00C337A8" w:rsidRDefault="006017B8" w:rsidP="006017B8">
      <w:pPr>
        <w:pStyle w:val="DFARS"/>
        <w:rPr>
          <w:rFonts w:ascii="Arial" w:hAnsi="Arial" w:cs="Arial"/>
          <w:b/>
        </w:rPr>
      </w:pPr>
      <w:r w:rsidRPr="00C337A8">
        <w:rPr>
          <w:rFonts w:ascii="Arial" w:hAnsi="Arial" w:cs="Arial"/>
          <w:b/>
        </w:rPr>
        <w:t>PGI 234.2—EARNED VALUE MANAGEMENT SYSTEM</w:t>
      </w:r>
    </w:p>
    <w:p w14:paraId="0DAD38B6" w14:textId="77777777" w:rsidR="006017B8" w:rsidRPr="00C337A8" w:rsidRDefault="006017B8" w:rsidP="006017B8">
      <w:pPr>
        <w:pStyle w:val="DFARS"/>
        <w:rPr>
          <w:rFonts w:ascii="Arial" w:hAnsi="Arial" w:cs="Arial"/>
          <w:b/>
        </w:rPr>
      </w:pPr>
    </w:p>
    <w:p w14:paraId="49654681" w14:textId="77777777" w:rsidR="006017B8" w:rsidRPr="00C337A8" w:rsidRDefault="006017B8" w:rsidP="006017B8">
      <w:pPr>
        <w:pStyle w:val="DFARS"/>
        <w:rPr>
          <w:rFonts w:ascii="Arial" w:hAnsi="Arial" w:cs="Arial"/>
          <w:b/>
        </w:rPr>
      </w:pPr>
      <w:r w:rsidRPr="00C337A8">
        <w:rPr>
          <w:rFonts w:ascii="Arial" w:hAnsi="Arial" w:cs="Arial"/>
          <w:b/>
        </w:rPr>
        <w:t>PGI 234.201  Policy.</w:t>
      </w:r>
    </w:p>
    <w:p w14:paraId="4D4E9908" w14:textId="77777777" w:rsidR="006017B8" w:rsidRPr="001E28F3" w:rsidRDefault="006017B8" w:rsidP="006017B8">
      <w:pPr>
        <w:pStyle w:val="DFARS"/>
        <w:rPr>
          <w:rFonts w:ascii="Arial" w:hAnsi="Arial" w:cs="Arial"/>
          <w:bCs/>
        </w:rPr>
      </w:pPr>
    </w:p>
    <w:p w14:paraId="029744FA" w14:textId="047E56EF" w:rsidR="006017B8" w:rsidRDefault="006017B8" w:rsidP="00A34A97">
      <w:pPr>
        <w:pStyle w:val="DFARS"/>
        <w:rPr>
          <w:rFonts w:ascii="Arial" w:hAnsi="Arial" w:cs="Arial"/>
          <w:bCs/>
        </w:rPr>
      </w:pPr>
      <w:r>
        <w:rPr>
          <w:rFonts w:ascii="Arial" w:hAnsi="Arial" w:cs="Arial"/>
          <w:bCs/>
        </w:rPr>
        <w:tab/>
        <w:t>(1)(iii)  * * *</w:t>
      </w:r>
    </w:p>
    <w:p w14:paraId="24CF235B" w14:textId="77777777" w:rsidR="006017B8" w:rsidRDefault="006017B8" w:rsidP="00A34A97">
      <w:pPr>
        <w:pStyle w:val="DFARS"/>
        <w:rPr>
          <w:rFonts w:ascii="Arial" w:hAnsi="Arial" w:cs="Arial"/>
          <w:bCs/>
        </w:rPr>
      </w:pPr>
    </w:p>
    <w:p w14:paraId="55345774" w14:textId="73B3EE45"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w:t>
      </w:r>
      <w:r w:rsidRPr="001F55C3">
        <w:rPr>
          <w:rFonts w:ascii="Arial" w:hAnsi="Arial" w:cs="Arial"/>
          <w:bCs/>
          <w:i/>
          <w:iCs/>
        </w:rPr>
        <w:t>1</w:t>
      </w:r>
      <w:r w:rsidRPr="001F55C3">
        <w:rPr>
          <w:rFonts w:ascii="Arial" w:hAnsi="Arial" w:cs="Arial"/>
          <w:bCs/>
        </w:rPr>
        <w:t xml:space="preserve">)  The </w:t>
      </w:r>
      <w:r w:rsidRPr="009D70B5">
        <w:rPr>
          <w:rFonts w:ascii="Arial" w:hAnsi="Arial" w:cs="Arial"/>
          <w:bCs/>
          <w:strike/>
        </w:rPr>
        <w:t>Defense Acquisition Guidebook, Chapter 11, Section 11.3</w:t>
      </w:r>
      <w:r w:rsidRPr="00F57A47">
        <w:rPr>
          <w:rFonts w:ascii="Arial" w:hAnsi="Arial" w:cs="Arial"/>
          <w:bCs/>
          <w:strike/>
        </w:rPr>
        <w:t>, at h</w:t>
      </w:r>
      <w:r w:rsidRPr="00AD6F1C">
        <w:rPr>
          <w:rFonts w:ascii="Arial" w:hAnsi="Arial" w:cs="Arial"/>
          <w:bCs/>
          <w:strike/>
        </w:rPr>
        <w:t>ttps://akss.dau.mil/dag/DoD5000.asp?view=document</w:t>
      </w:r>
      <w:r w:rsidR="008168BB">
        <w:rPr>
          <w:rFonts w:ascii="Arial" w:hAnsi="Arial" w:cs="Arial"/>
          <w:b/>
        </w:rPr>
        <w:t>[</w:t>
      </w:r>
      <w:hyperlink r:id="rId7" w:history="1">
        <w:r w:rsidR="008168BB" w:rsidRPr="00F57A47">
          <w:rPr>
            <w:rStyle w:val="Hyperlink"/>
            <w:rFonts w:ascii="Arial" w:hAnsi="Arial" w:cs="Arial"/>
            <w:b/>
          </w:rPr>
          <w:t>Integrated Program Management Data Analysis Report (IPMDAR) Implementation &amp; Tailoring Guide</w:t>
        </w:r>
      </w:hyperlink>
      <w:r w:rsidR="008168BB">
        <w:rPr>
          <w:rFonts w:ascii="Arial" w:hAnsi="Arial" w:cs="Arial"/>
          <w:b/>
        </w:rPr>
        <w:t>]</w:t>
      </w:r>
      <w:r w:rsidRPr="001F55C3">
        <w:rPr>
          <w:rFonts w:ascii="Arial" w:hAnsi="Arial" w:cs="Arial"/>
          <w:bCs/>
        </w:rPr>
        <w:t>; and</w:t>
      </w:r>
    </w:p>
    <w:p w14:paraId="540BD09C" w14:textId="77777777" w:rsidR="006017B8" w:rsidRPr="001F55C3" w:rsidRDefault="006017B8" w:rsidP="006017B8">
      <w:pPr>
        <w:pStyle w:val="DFARS"/>
        <w:rPr>
          <w:rFonts w:ascii="Arial" w:hAnsi="Arial" w:cs="Arial"/>
          <w:bCs/>
        </w:rPr>
      </w:pPr>
    </w:p>
    <w:p w14:paraId="644ED7D9" w14:textId="0AA64BC9"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w:t>
      </w:r>
      <w:r w:rsidRPr="001F55C3">
        <w:rPr>
          <w:rFonts w:ascii="Arial" w:hAnsi="Arial" w:cs="Arial"/>
          <w:bCs/>
          <w:i/>
          <w:iCs/>
        </w:rPr>
        <w:t>2</w:t>
      </w:r>
      <w:r w:rsidRPr="001F55C3">
        <w:rPr>
          <w:rFonts w:ascii="Arial" w:hAnsi="Arial" w:cs="Arial"/>
          <w:bCs/>
        </w:rPr>
        <w:t>)</w:t>
      </w:r>
      <w:r>
        <w:rPr>
          <w:rFonts w:ascii="Arial" w:hAnsi="Arial" w:cs="Arial"/>
          <w:bCs/>
        </w:rPr>
        <w:t xml:space="preserve"> </w:t>
      </w:r>
      <w:r w:rsidRPr="001F55C3">
        <w:rPr>
          <w:rFonts w:ascii="Arial" w:hAnsi="Arial" w:cs="Arial"/>
          <w:bCs/>
        </w:rPr>
        <w:t xml:space="preserve"> </w:t>
      </w:r>
      <w:r w:rsidRPr="008168BB">
        <w:rPr>
          <w:rFonts w:ascii="Arial" w:hAnsi="Arial" w:cs="Arial"/>
          <w:bCs/>
          <w:strike/>
        </w:rPr>
        <w:t xml:space="preserve">The DoD Earned Value Management Implementation Guide at </w:t>
      </w:r>
      <w:r w:rsidRPr="00657B73">
        <w:rPr>
          <w:rFonts w:ascii="Arial" w:hAnsi="Arial" w:cs="Arial"/>
          <w:bCs/>
          <w:strike/>
        </w:rPr>
        <w:t>https://acc.dau.mil/CommunityBrowser.aspx?id=19557</w:t>
      </w:r>
      <w:r w:rsidR="008168BB">
        <w:rPr>
          <w:rFonts w:ascii="Arial" w:hAnsi="Arial" w:cs="Arial"/>
          <w:b/>
        </w:rPr>
        <w:t>[</w:t>
      </w:r>
      <w:hyperlink r:id="rId8" w:history="1">
        <w:r w:rsidR="008168BB" w:rsidRPr="008168BB">
          <w:rPr>
            <w:rStyle w:val="Hyperlink"/>
            <w:rFonts w:ascii="Arial" w:hAnsi="Arial" w:cs="Arial"/>
            <w:b/>
          </w:rPr>
          <w:t>The DoD Earned Value Management Implementation Guide</w:t>
        </w:r>
      </w:hyperlink>
      <w:r w:rsidR="008168BB">
        <w:rPr>
          <w:rFonts w:ascii="Arial" w:hAnsi="Arial" w:cs="Arial"/>
          <w:b/>
        </w:rPr>
        <w:t>]</w:t>
      </w:r>
      <w:r w:rsidRPr="001F55C3">
        <w:rPr>
          <w:rFonts w:ascii="Arial" w:hAnsi="Arial" w:cs="Arial"/>
          <w:bCs/>
        </w:rPr>
        <w:t>.</w:t>
      </w:r>
    </w:p>
    <w:p w14:paraId="3FBB7E3E" w14:textId="77777777" w:rsidR="006017B8" w:rsidRPr="001F55C3" w:rsidRDefault="006017B8" w:rsidP="006017B8">
      <w:pPr>
        <w:pStyle w:val="DFARS"/>
        <w:rPr>
          <w:rFonts w:ascii="Arial" w:hAnsi="Arial" w:cs="Arial"/>
          <w:bCs/>
        </w:rPr>
      </w:pPr>
    </w:p>
    <w:p w14:paraId="16E6E545" w14:textId="77777777"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sidRPr="001F55C3">
        <w:rPr>
          <w:rFonts w:ascii="Arial" w:hAnsi="Arial" w:cs="Arial"/>
          <w:bCs/>
        </w:rPr>
        <w:t>(iv)</w:t>
      </w:r>
      <w:r>
        <w:rPr>
          <w:rFonts w:ascii="Arial" w:hAnsi="Arial" w:cs="Arial"/>
          <w:bCs/>
        </w:rPr>
        <w:t xml:space="preserve"> </w:t>
      </w:r>
      <w:r w:rsidRPr="001F55C3">
        <w:rPr>
          <w:rFonts w:ascii="Arial" w:hAnsi="Arial" w:cs="Arial"/>
          <w:bCs/>
        </w:rPr>
        <w:t xml:space="preserve"> In extraordinary cases where cost/schedule visibility is required and cannot be obtained using other means, the program manager shall request a waiver for individual contracts from the Milestone Decision Authority. </w:t>
      </w:r>
      <w:r>
        <w:rPr>
          <w:rFonts w:ascii="Arial" w:hAnsi="Arial" w:cs="Arial"/>
          <w:bCs/>
        </w:rPr>
        <w:t xml:space="preserve"> </w:t>
      </w:r>
      <w:r w:rsidRPr="001F55C3">
        <w:rPr>
          <w:rFonts w:ascii="Arial" w:hAnsi="Arial" w:cs="Arial"/>
          <w:bCs/>
        </w:rPr>
        <w:t xml:space="preserve">In these cases, the program manager will conduct a business case analysis that includes rationale as to why a cost or fixed-price incentive contract was not an appropriate contracting vehicle. </w:t>
      </w:r>
      <w:r>
        <w:rPr>
          <w:rFonts w:ascii="Arial" w:hAnsi="Arial" w:cs="Arial"/>
          <w:bCs/>
        </w:rPr>
        <w:t xml:space="preserve"> </w:t>
      </w:r>
      <w:r w:rsidRPr="001F55C3">
        <w:rPr>
          <w:rFonts w:ascii="Arial" w:hAnsi="Arial" w:cs="Arial"/>
          <w:bCs/>
        </w:rPr>
        <w:t>Considerations for determining the effectiveness of applying earned value management in these situations and guidance for tailoring reporting can be found in—</w:t>
      </w:r>
    </w:p>
    <w:p w14:paraId="32F64C41" w14:textId="77777777" w:rsidR="006017B8" w:rsidRPr="001F55C3" w:rsidRDefault="006017B8" w:rsidP="006017B8">
      <w:pPr>
        <w:pStyle w:val="DFARS"/>
        <w:rPr>
          <w:rFonts w:ascii="Arial" w:hAnsi="Arial" w:cs="Arial"/>
          <w:bCs/>
        </w:rPr>
      </w:pPr>
    </w:p>
    <w:p w14:paraId="2DD81854" w14:textId="671C8CE8"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w:t>
      </w:r>
      <w:r w:rsidRPr="00465063">
        <w:rPr>
          <w:rFonts w:ascii="Arial" w:hAnsi="Arial" w:cs="Arial"/>
          <w:bCs/>
          <w:i/>
          <w:iCs/>
        </w:rPr>
        <w:t>1</w:t>
      </w:r>
      <w:r w:rsidRPr="001F55C3">
        <w:rPr>
          <w:rFonts w:ascii="Arial" w:hAnsi="Arial" w:cs="Arial"/>
          <w:bCs/>
        </w:rPr>
        <w:t>)</w:t>
      </w:r>
      <w:r>
        <w:rPr>
          <w:rFonts w:ascii="Arial" w:hAnsi="Arial" w:cs="Arial"/>
          <w:bCs/>
        </w:rPr>
        <w:t xml:space="preserve"> </w:t>
      </w:r>
      <w:r w:rsidRPr="001F55C3">
        <w:rPr>
          <w:rFonts w:ascii="Arial" w:hAnsi="Arial" w:cs="Arial"/>
          <w:bCs/>
        </w:rPr>
        <w:t xml:space="preserve"> </w:t>
      </w:r>
      <w:r w:rsidRPr="00657B73">
        <w:rPr>
          <w:rFonts w:ascii="Arial" w:hAnsi="Arial" w:cs="Arial"/>
          <w:bCs/>
          <w:strike/>
        </w:rPr>
        <w:t>The Defense Acquisition Guidebook, Chapter 11, Section 11.3</w:t>
      </w:r>
      <w:r w:rsidRPr="008168BB">
        <w:rPr>
          <w:rFonts w:ascii="Arial" w:hAnsi="Arial" w:cs="Arial"/>
          <w:bCs/>
          <w:strike/>
        </w:rPr>
        <w:t xml:space="preserve">, at </w:t>
      </w:r>
      <w:r w:rsidRPr="00657B73">
        <w:rPr>
          <w:rFonts w:ascii="Arial" w:hAnsi="Arial" w:cs="Arial"/>
          <w:bCs/>
          <w:strike/>
        </w:rPr>
        <w:t>https://akss.dau.mil/dag/DoD5000.asp?view=document</w:t>
      </w:r>
      <w:r w:rsidR="008168BB">
        <w:rPr>
          <w:rFonts w:ascii="Arial" w:hAnsi="Arial" w:cs="Arial"/>
          <w:b/>
        </w:rPr>
        <w:t>[</w:t>
      </w:r>
      <w:hyperlink r:id="rId9" w:history="1">
        <w:r w:rsidR="008168BB" w:rsidRPr="008168BB">
          <w:rPr>
            <w:rStyle w:val="Hyperlink"/>
            <w:rFonts w:ascii="Arial" w:hAnsi="Arial" w:cs="Arial"/>
            <w:b/>
          </w:rPr>
          <w:t>DoD Instruction 5000.85, paragraph 3C.3.c.(3)</w:t>
        </w:r>
      </w:hyperlink>
      <w:r w:rsidR="008168BB">
        <w:rPr>
          <w:rFonts w:ascii="Arial" w:hAnsi="Arial" w:cs="Arial"/>
          <w:b/>
        </w:rPr>
        <w:t>]</w:t>
      </w:r>
      <w:r w:rsidRPr="001F55C3">
        <w:rPr>
          <w:rFonts w:ascii="Arial" w:hAnsi="Arial" w:cs="Arial"/>
          <w:bCs/>
        </w:rPr>
        <w:t>; and</w:t>
      </w:r>
    </w:p>
    <w:p w14:paraId="562A29A1" w14:textId="77777777" w:rsidR="006017B8" w:rsidRPr="001F55C3" w:rsidRDefault="006017B8" w:rsidP="006017B8">
      <w:pPr>
        <w:pStyle w:val="DFARS"/>
        <w:rPr>
          <w:rFonts w:ascii="Arial" w:hAnsi="Arial" w:cs="Arial"/>
          <w:bCs/>
        </w:rPr>
      </w:pPr>
    </w:p>
    <w:p w14:paraId="2A8BDA89" w14:textId="4AB9A9E2"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w:t>
      </w:r>
      <w:r w:rsidRPr="00465063">
        <w:rPr>
          <w:rFonts w:ascii="Arial" w:hAnsi="Arial" w:cs="Arial"/>
          <w:bCs/>
          <w:i/>
          <w:iCs/>
        </w:rPr>
        <w:t>2</w:t>
      </w:r>
      <w:r w:rsidRPr="001F55C3">
        <w:rPr>
          <w:rFonts w:ascii="Arial" w:hAnsi="Arial" w:cs="Arial"/>
          <w:bCs/>
        </w:rPr>
        <w:t xml:space="preserve">) </w:t>
      </w:r>
      <w:r>
        <w:rPr>
          <w:rFonts w:ascii="Arial" w:hAnsi="Arial" w:cs="Arial"/>
          <w:bCs/>
        </w:rPr>
        <w:t xml:space="preserve"> </w:t>
      </w:r>
      <w:r w:rsidRPr="008168BB">
        <w:rPr>
          <w:rFonts w:ascii="Arial" w:hAnsi="Arial" w:cs="Arial"/>
          <w:bCs/>
          <w:strike/>
        </w:rPr>
        <w:t xml:space="preserve">The DoD Earned Value Management Implementation Guide at </w:t>
      </w:r>
      <w:r w:rsidRPr="00657B73">
        <w:rPr>
          <w:rFonts w:ascii="Arial" w:hAnsi="Arial" w:cs="Arial"/>
          <w:bCs/>
          <w:strike/>
        </w:rPr>
        <w:t>https://acc.dau.mil/CommunityBrowser.aspx?id=19557</w:t>
      </w:r>
      <w:r>
        <w:rPr>
          <w:rFonts w:ascii="Arial" w:hAnsi="Arial" w:cs="Arial"/>
          <w:b/>
        </w:rPr>
        <w:t>[</w:t>
      </w:r>
      <w:hyperlink r:id="rId10" w:history="1">
        <w:r w:rsidR="008168BB" w:rsidRPr="008168BB">
          <w:rPr>
            <w:rStyle w:val="Hyperlink"/>
            <w:rFonts w:ascii="Arial" w:hAnsi="Arial" w:cs="Arial"/>
            <w:b/>
          </w:rPr>
          <w:t>The DoD Earned Value Management Implementation Guide</w:t>
        </w:r>
      </w:hyperlink>
      <w:r>
        <w:rPr>
          <w:rFonts w:ascii="Arial" w:hAnsi="Arial" w:cs="Arial"/>
          <w:b/>
        </w:rPr>
        <w:t>]</w:t>
      </w:r>
      <w:r w:rsidRPr="001F55C3">
        <w:rPr>
          <w:rFonts w:ascii="Arial" w:hAnsi="Arial" w:cs="Arial"/>
          <w:bCs/>
        </w:rPr>
        <w:t>.</w:t>
      </w:r>
    </w:p>
    <w:p w14:paraId="524B7377" w14:textId="77777777" w:rsidR="006017B8" w:rsidRPr="001F55C3" w:rsidRDefault="006017B8" w:rsidP="006017B8">
      <w:pPr>
        <w:pStyle w:val="DFARS"/>
        <w:rPr>
          <w:rFonts w:ascii="Arial" w:hAnsi="Arial" w:cs="Arial"/>
          <w:bCs/>
        </w:rPr>
      </w:pPr>
    </w:p>
    <w:p w14:paraId="339970D3" w14:textId="77777777" w:rsidR="006017B8" w:rsidRPr="001F55C3" w:rsidRDefault="006017B8" w:rsidP="006017B8">
      <w:pPr>
        <w:pStyle w:val="DFARS"/>
        <w:rPr>
          <w:rFonts w:ascii="Arial" w:hAnsi="Arial" w:cs="Arial"/>
          <w:bCs/>
        </w:rPr>
      </w:pPr>
      <w:r>
        <w:rPr>
          <w:rFonts w:ascii="Arial" w:hAnsi="Arial" w:cs="Arial"/>
          <w:bCs/>
        </w:rPr>
        <w:lastRenderedPageBreak/>
        <w:tab/>
      </w:r>
      <w:r w:rsidRPr="001F55C3">
        <w:rPr>
          <w:rFonts w:ascii="Arial" w:hAnsi="Arial" w:cs="Arial"/>
          <w:bCs/>
        </w:rPr>
        <w:t xml:space="preserve">(2) </w:t>
      </w:r>
      <w:r>
        <w:rPr>
          <w:rFonts w:ascii="Arial" w:hAnsi="Arial" w:cs="Arial"/>
          <w:bCs/>
        </w:rPr>
        <w:t xml:space="preserve"> </w:t>
      </w:r>
      <w:r w:rsidRPr="001F55C3">
        <w:rPr>
          <w:rFonts w:ascii="Arial" w:hAnsi="Arial" w:cs="Arial"/>
          <w:bCs/>
        </w:rPr>
        <w:t xml:space="preserve">The procuring contracting officer shall obtain the assistance of the administrative contracting officer in determining the adequacy of an earned value management system (EVMS) plan that an offeror proposes for compliance with ANSI/EIA-748, under the provision at DFARS 252.234-7001, Notice of Earned Value Management System. </w:t>
      </w:r>
      <w:r>
        <w:rPr>
          <w:rFonts w:ascii="Arial" w:hAnsi="Arial" w:cs="Arial"/>
          <w:bCs/>
        </w:rPr>
        <w:t xml:space="preserve"> </w:t>
      </w:r>
      <w:r w:rsidRPr="001F55C3">
        <w:rPr>
          <w:rFonts w:ascii="Arial" w:hAnsi="Arial" w:cs="Arial"/>
          <w:bCs/>
        </w:rPr>
        <w:t xml:space="preserve">The Government will review and approve the offeror’s EVMS plan before contract award. </w:t>
      </w:r>
      <w:r>
        <w:rPr>
          <w:rFonts w:ascii="Arial" w:hAnsi="Arial" w:cs="Arial"/>
          <w:bCs/>
        </w:rPr>
        <w:t xml:space="preserve"> </w:t>
      </w:r>
      <w:r w:rsidRPr="001F55C3">
        <w:rPr>
          <w:rFonts w:ascii="Arial" w:hAnsi="Arial" w:cs="Arial"/>
          <w:bCs/>
        </w:rPr>
        <w:t xml:space="preserve">Instructions for performing EVMS plan reviews can be found at </w:t>
      </w:r>
      <w:r w:rsidRPr="00657B73">
        <w:rPr>
          <w:rFonts w:ascii="Arial" w:hAnsi="Arial" w:cs="Arial"/>
          <w:bCs/>
          <w:strike/>
        </w:rPr>
        <w:t>http://guidebook.dcma.mil/39/instructions.htm</w:t>
      </w:r>
      <w:r>
        <w:rPr>
          <w:rFonts w:ascii="Arial" w:hAnsi="Arial" w:cs="Arial"/>
          <w:b/>
        </w:rPr>
        <w:t>[</w:t>
      </w:r>
      <w:r w:rsidRPr="00503446">
        <w:rPr>
          <w:rFonts w:ascii="Arial" w:hAnsi="Arial" w:cs="Arial"/>
          <w:b/>
          <w:i/>
          <w:iCs/>
        </w:rPr>
        <w:t>https://www.dcma.mil/HQ/EVMS/</w:t>
      </w:r>
      <w:r>
        <w:rPr>
          <w:rFonts w:ascii="Arial" w:hAnsi="Arial" w:cs="Arial"/>
          <w:b/>
        </w:rPr>
        <w:t>]</w:t>
      </w:r>
      <w:r w:rsidRPr="001F55C3">
        <w:rPr>
          <w:rFonts w:ascii="Arial" w:hAnsi="Arial" w:cs="Arial"/>
          <w:bCs/>
        </w:rPr>
        <w:t>.</w:t>
      </w:r>
    </w:p>
    <w:p w14:paraId="208A2B44" w14:textId="77777777" w:rsidR="006017B8" w:rsidRPr="001F55C3" w:rsidRDefault="006017B8" w:rsidP="006017B8">
      <w:pPr>
        <w:pStyle w:val="DFARS"/>
        <w:rPr>
          <w:rFonts w:ascii="Arial" w:hAnsi="Arial" w:cs="Arial"/>
          <w:bCs/>
        </w:rPr>
      </w:pPr>
    </w:p>
    <w:p w14:paraId="6FAA96A8" w14:textId="035EBCE6" w:rsidR="006017B8" w:rsidRPr="001F55C3" w:rsidRDefault="006017B8" w:rsidP="006017B8">
      <w:pPr>
        <w:pStyle w:val="DFARS"/>
        <w:rPr>
          <w:rFonts w:ascii="Arial" w:hAnsi="Arial" w:cs="Arial"/>
          <w:bCs/>
        </w:rPr>
      </w:pPr>
      <w:r>
        <w:rPr>
          <w:rFonts w:ascii="Arial" w:hAnsi="Arial" w:cs="Arial"/>
          <w:bCs/>
        </w:rPr>
        <w:tab/>
      </w:r>
      <w:r w:rsidRPr="001F55C3">
        <w:rPr>
          <w:rFonts w:ascii="Arial" w:hAnsi="Arial" w:cs="Arial"/>
          <w:bCs/>
        </w:rPr>
        <w:t>(</w:t>
      </w:r>
      <w:r w:rsidR="00055901">
        <w:rPr>
          <w:rFonts w:ascii="Arial" w:hAnsi="Arial" w:cs="Arial"/>
          <w:bCs/>
        </w:rPr>
        <w:t>4</w:t>
      </w:r>
      <w:r w:rsidRPr="001F55C3">
        <w:rPr>
          <w:rFonts w:ascii="Arial" w:hAnsi="Arial" w:cs="Arial"/>
          <w:bCs/>
        </w:rPr>
        <w:t xml:space="preserve">) </w:t>
      </w:r>
      <w:r>
        <w:rPr>
          <w:rFonts w:ascii="Arial" w:hAnsi="Arial" w:cs="Arial"/>
          <w:bCs/>
        </w:rPr>
        <w:t xml:space="preserve"> </w:t>
      </w:r>
      <w:r w:rsidRPr="001F55C3">
        <w:rPr>
          <w:rFonts w:ascii="Arial" w:hAnsi="Arial" w:cs="Arial"/>
          <w:bCs/>
        </w:rPr>
        <w:t>Additional guidance on earned value management can be found in—</w:t>
      </w:r>
    </w:p>
    <w:p w14:paraId="7E62ABC1" w14:textId="77777777" w:rsidR="006017B8" w:rsidRPr="001F55C3" w:rsidRDefault="006017B8" w:rsidP="006017B8">
      <w:pPr>
        <w:pStyle w:val="DFARS"/>
        <w:rPr>
          <w:rFonts w:ascii="Arial" w:hAnsi="Arial" w:cs="Arial"/>
          <w:bCs/>
        </w:rPr>
      </w:pPr>
    </w:p>
    <w:p w14:paraId="2A640DB7" w14:textId="77777777"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(A)</w:t>
      </w:r>
      <w:r>
        <w:rPr>
          <w:rFonts w:ascii="Arial" w:hAnsi="Arial" w:cs="Arial"/>
          <w:bCs/>
        </w:rPr>
        <w:t xml:space="preserve"> </w:t>
      </w:r>
      <w:r w:rsidRPr="001F55C3">
        <w:rPr>
          <w:rFonts w:ascii="Arial" w:hAnsi="Arial" w:cs="Arial"/>
          <w:bCs/>
        </w:rPr>
        <w:t xml:space="preserve"> The Guidebook for Earned Value Management System (EVMS) System-Level Surveillance at </w:t>
      </w:r>
      <w:r w:rsidRPr="00657B73">
        <w:rPr>
          <w:rFonts w:ascii="Arial" w:hAnsi="Arial" w:cs="Arial"/>
          <w:bCs/>
          <w:strike/>
        </w:rPr>
        <w:t>http://guidebook.dcma.mil/79/instructions.htm</w:t>
      </w:r>
      <w:r>
        <w:rPr>
          <w:rFonts w:ascii="Arial" w:hAnsi="Arial" w:cs="Arial"/>
          <w:bCs/>
        </w:rPr>
        <w:t xml:space="preserve"> </w:t>
      </w:r>
      <w:r>
        <w:rPr>
          <w:rFonts w:ascii="Arial" w:hAnsi="Arial" w:cs="Arial"/>
          <w:b/>
        </w:rPr>
        <w:t>[</w:t>
      </w:r>
      <w:bookmarkStart w:id="2" w:name="_Hlk205876587"/>
      <w:r w:rsidRPr="00503446">
        <w:rPr>
          <w:rFonts w:ascii="Arial" w:hAnsi="Arial" w:cs="Arial"/>
          <w:b/>
          <w:i/>
          <w:iCs/>
        </w:rPr>
        <w:t>https://www.dcma.mil/HQ/EVMS/</w:t>
      </w:r>
      <w:r>
        <w:rPr>
          <w:rFonts w:ascii="Arial" w:hAnsi="Arial" w:cs="Arial"/>
          <w:b/>
        </w:rPr>
        <w:t>]</w:t>
      </w:r>
      <w:bookmarkEnd w:id="2"/>
      <w:r w:rsidRPr="001F55C3">
        <w:rPr>
          <w:rFonts w:ascii="Arial" w:hAnsi="Arial" w:cs="Arial"/>
          <w:bCs/>
        </w:rPr>
        <w:t>;</w:t>
      </w:r>
    </w:p>
    <w:p w14:paraId="5B6EF008" w14:textId="77777777" w:rsidR="006017B8" w:rsidRPr="001F55C3" w:rsidRDefault="006017B8" w:rsidP="006017B8">
      <w:pPr>
        <w:pStyle w:val="DFARS"/>
        <w:rPr>
          <w:rFonts w:ascii="Arial" w:hAnsi="Arial" w:cs="Arial"/>
          <w:bCs/>
        </w:rPr>
      </w:pPr>
    </w:p>
    <w:p w14:paraId="49FB58D8" w14:textId="1FA57F4A" w:rsidR="006017B8" w:rsidRPr="001F55C3"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 xml:space="preserve">(B) </w:t>
      </w:r>
      <w:r>
        <w:rPr>
          <w:rFonts w:ascii="Arial" w:hAnsi="Arial" w:cs="Arial"/>
          <w:bCs/>
        </w:rPr>
        <w:t xml:space="preserve"> </w:t>
      </w:r>
      <w:r w:rsidRPr="008A6EEB">
        <w:rPr>
          <w:rFonts w:ascii="Arial" w:hAnsi="Arial" w:cs="Arial"/>
          <w:bCs/>
          <w:strike/>
        </w:rPr>
        <w:t xml:space="preserve">The Guidebook for Earned Value Management System - Program Analysis at </w:t>
      </w:r>
      <w:r w:rsidRPr="00657B73">
        <w:rPr>
          <w:rFonts w:ascii="Arial" w:hAnsi="Arial" w:cs="Arial"/>
          <w:bCs/>
          <w:strike/>
        </w:rPr>
        <w:t>http://guidebook.dcma.mil/248/guidebook_process.htm</w:t>
      </w:r>
      <w:r>
        <w:rPr>
          <w:rFonts w:ascii="Arial" w:hAnsi="Arial" w:cs="Arial"/>
          <w:b/>
        </w:rPr>
        <w:t>[</w:t>
      </w:r>
      <w:bookmarkStart w:id="3" w:name="_Hlk205876633"/>
      <w:r w:rsidR="008A6EEB">
        <w:fldChar w:fldCharType="begin"/>
      </w:r>
      <w:r w:rsidR="008A6EEB">
        <w:instrText>HYPERLINK "https://www.dcma.mil/Portals/31/Documents/Policy/DCMA_MAN_3101-01.pdf"</w:instrText>
      </w:r>
      <w:r w:rsidR="008A6EEB">
        <w:fldChar w:fldCharType="separate"/>
      </w:r>
      <w:r w:rsidR="008168BB" w:rsidRPr="008168BB">
        <w:rPr>
          <w:rStyle w:val="Hyperlink"/>
          <w:rFonts w:ascii="Arial" w:hAnsi="Arial" w:cs="Arial"/>
          <w:b/>
        </w:rPr>
        <w:t>The Guidebook for Earned Value Management System - Program Analysis</w:t>
      </w:r>
      <w:r w:rsidR="008A6EEB">
        <w:rPr>
          <w:rStyle w:val="Hyperlink"/>
          <w:rFonts w:ascii="Arial" w:hAnsi="Arial" w:cs="Arial"/>
          <w:b/>
        </w:rPr>
        <w:fldChar w:fldCharType="end"/>
      </w:r>
      <w:bookmarkEnd w:id="3"/>
      <w:r>
        <w:rPr>
          <w:rFonts w:ascii="Arial" w:hAnsi="Arial" w:cs="Arial"/>
          <w:b/>
        </w:rPr>
        <w:t>]</w:t>
      </w:r>
      <w:r w:rsidRPr="001F55C3">
        <w:rPr>
          <w:rFonts w:ascii="Arial" w:hAnsi="Arial" w:cs="Arial"/>
          <w:bCs/>
        </w:rPr>
        <w:t>; and</w:t>
      </w:r>
    </w:p>
    <w:p w14:paraId="4A8C2C90" w14:textId="77777777" w:rsidR="006017B8" w:rsidRPr="001F55C3" w:rsidRDefault="006017B8" w:rsidP="006017B8">
      <w:pPr>
        <w:pStyle w:val="DFARS"/>
        <w:rPr>
          <w:rFonts w:ascii="Arial" w:hAnsi="Arial" w:cs="Arial"/>
          <w:bCs/>
        </w:rPr>
      </w:pPr>
    </w:p>
    <w:p w14:paraId="7E965ED5" w14:textId="17A9816D" w:rsidR="006017B8" w:rsidRDefault="006017B8" w:rsidP="006017B8">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sidRPr="001F55C3">
        <w:rPr>
          <w:rFonts w:ascii="Arial" w:hAnsi="Arial" w:cs="Arial"/>
          <w:bCs/>
        </w:rPr>
        <w:t xml:space="preserve">(C) </w:t>
      </w:r>
      <w:r>
        <w:rPr>
          <w:rFonts w:ascii="Arial" w:hAnsi="Arial" w:cs="Arial"/>
          <w:bCs/>
        </w:rPr>
        <w:t xml:space="preserve"> </w:t>
      </w:r>
      <w:r w:rsidRPr="00A36220">
        <w:rPr>
          <w:rFonts w:ascii="Arial" w:hAnsi="Arial" w:cs="Arial"/>
          <w:bCs/>
          <w:strike/>
        </w:rPr>
        <w:t>The Program Managers’ Guide to the Integrated Baseline Review Process (the IBR Guide) at h</w:t>
      </w:r>
      <w:r w:rsidRPr="00657B73">
        <w:rPr>
          <w:rFonts w:ascii="Arial" w:hAnsi="Arial" w:cs="Arial"/>
          <w:bCs/>
          <w:strike/>
        </w:rPr>
        <w:t>ttp://www.acq.osd.mil/pm/currentpolicy/currentpolicy.html</w:t>
      </w:r>
      <w:r>
        <w:rPr>
          <w:rFonts w:ascii="Arial" w:hAnsi="Arial" w:cs="Arial"/>
          <w:bCs/>
        </w:rPr>
        <w:t xml:space="preserve"> </w:t>
      </w:r>
      <w:r>
        <w:rPr>
          <w:rFonts w:ascii="Arial" w:hAnsi="Arial" w:cs="Arial"/>
          <w:b/>
        </w:rPr>
        <w:t>[</w:t>
      </w:r>
      <w:bookmarkStart w:id="4" w:name="_Hlk205876651"/>
      <w:r w:rsidR="008A6EEB">
        <w:fldChar w:fldCharType="begin"/>
      </w:r>
      <w:r w:rsidR="008A6EEB">
        <w:instrText>HYPERLINK "https://www.acq.osd.mil/asda/dpc/api/ipm/docs/program_managers_guide_to_the_integrated_baseline_review_process.pdf"</w:instrText>
      </w:r>
      <w:r w:rsidR="008A6EEB">
        <w:fldChar w:fldCharType="separate"/>
      </w:r>
      <w:r w:rsidR="00A36220" w:rsidRPr="00A36220">
        <w:rPr>
          <w:rStyle w:val="Hyperlink"/>
          <w:rFonts w:ascii="Arial" w:hAnsi="Arial" w:cs="Arial"/>
          <w:b/>
        </w:rPr>
        <w:t>The Program Managers’ Guide to the Integrated Baseline Review Process (the IBR Guide)</w:t>
      </w:r>
      <w:r w:rsidR="008A6EEB">
        <w:rPr>
          <w:rStyle w:val="Hyperlink"/>
          <w:rFonts w:ascii="Arial" w:hAnsi="Arial" w:cs="Arial"/>
          <w:b/>
        </w:rPr>
        <w:fldChar w:fldCharType="end"/>
      </w:r>
      <w:bookmarkEnd w:id="4"/>
      <w:r>
        <w:rPr>
          <w:rFonts w:ascii="Arial" w:hAnsi="Arial" w:cs="Arial"/>
          <w:b/>
        </w:rPr>
        <w:t>]</w:t>
      </w:r>
      <w:r w:rsidRPr="001F55C3">
        <w:rPr>
          <w:rFonts w:ascii="Arial" w:hAnsi="Arial" w:cs="Arial"/>
          <w:bCs/>
        </w:rPr>
        <w:t>.</w:t>
      </w:r>
    </w:p>
    <w:p w14:paraId="4F17F99C" w14:textId="77777777" w:rsidR="006017B8" w:rsidRDefault="006017B8" w:rsidP="00A34A97">
      <w:pPr>
        <w:pStyle w:val="DFARS"/>
        <w:rPr>
          <w:rFonts w:ascii="Arial" w:hAnsi="Arial" w:cs="Arial"/>
          <w:bCs/>
        </w:rPr>
      </w:pPr>
    </w:p>
    <w:p w14:paraId="039E0AB7" w14:textId="02E01948" w:rsidR="006017B8" w:rsidRDefault="006017B8" w:rsidP="00A34A97">
      <w:pPr>
        <w:pStyle w:val="DFARS"/>
        <w:rPr>
          <w:rFonts w:ascii="Arial" w:hAnsi="Arial" w:cs="Arial"/>
          <w:bCs/>
        </w:rPr>
      </w:pPr>
      <w:r>
        <w:rPr>
          <w:rFonts w:ascii="Arial" w:hAnsi="Arial" w:cs="Arial"/>
          <w:bCs/>
        </w:rPr>
        <w:t>* * * * *</w:t>
      </w:r>
    </w:p>
    <w:p w14:paraId="4C648E5A" w14:textId="77777777" w:rsidR="006017B8" w:rsidRDefault="006017B8" w:rsidP="00A34A97">
      <w:pPr>
        <w:pStyle w:val="DFARS"/>
        <w:rPr>
          <w:rFonts w:ascii="Arial" w:hAnsi="Arial" w:cs="Arial"/>
          <w:bCs/>
        </w:rPr>
      </w:pPr>
    </w:p>
    <w:sectPr w:rsidR="006017B8" w:rsidSect="009051E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3963" w14:textId="77777777" w:rsidR="00D427DF" w:rsidRDefault="00D427DF" w:rsidP="00FA5AE1">
      <w:pPr>
        <w:spacing w:after="0" w:line="240" w:lineRule="auto"/>
      </w:pPr>
      <w:r>
        <w:separator/>
      </w:r>
    </w:p>
  </w:endnote>
  <w:endnote w:type="continuationSeparator" w:id="0">
    <w:p w14:paraId="014C1E61"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0D95" w14:textId="4E6E474F" w:rsidR="00FA5AE1" w:rsidRPr="0002637B" w:rsidRDefault="008A6EEB" w:rsidP="00FA5AE1">
    <w:pPr>
      <w:pStyle w:val="Footer"/>
      <w:jc w:val="center"/>
      <w:rPr>
        <w:rFonts w:ascii="Arial" w:hAnsi="Arial" w:cs="Arial"/>
      </w:rPr>
    </w:pPr>
    <w:sdt>
      <w:sdtPr>
        <w:rPr>
          <w:rFonts w:ascii="Arial" w:hAnsi="Arial" w:cs="Arial"/>
        </w:rPr>
        <w:id w:val="1875731787"/>
        <w:docPartObj>
          <w:docPartGallery w:val="Page Numbers (Bottom of Page)"/>
          <w:docPartUnique/>
        </w:docPartObj>
      </w:sdtPr>
      <w:sdtEndPr/>
      <w:sdtContent>
        <w:sdt>
          <w:sdtPr>
            <w:rPr>
              <w:rFonts w:ascii="Arial" w:hAnsi="Arial" w:cs="Arial"/>
            </w:rPr>
            <w:id w:val="-1669238322"/>
            <w:docPartObj>
              <w:docPartGallery w:val="Page Numbers (Top of Page)"/>
              <w:docPartUnique/>
            </w:docPartObj>
          </w:sdtPr>
          <w:sdtEndPr/>
          <w:sdtContent>
            <w:r w:rsidR="00FA5AE1" w:rsidRPr="0002637B">
              <w:rPr>
                <w:rFonts w:ascii="Arial" w:hAnsi="Arial" w:cs="Arial"/>
              </w:rPr>
              <w:t xml:space="preserve">Page </w:t>
            </w:r>
            <w:r w:rsidR="00FA5AE1" w:rsidRPr="0002637B">
              <w:rPr>
                <w:rFonts w:ascii="Arial" w:hAnsi="Arial" w:cs="Arial"/>
                <w:bCs/>
              </w:rPr>
              <w:fldChar w:fldCharType="begin"/>
            </w:r>
            <w:r w:rsidR="00FA5AE1" w:rsidRPr="0002637B">
              <w:rPr>
                <w:rFonts w:ascii="Arial" w:hAnsi="Arial" w:cs="Arial"/>
                <w:bCs/>
              </w:rPr>
              <w:instrText xml:space="preserve"> PAGE  \* Arabic  \* MERGEFORMAT </w:instrText>
            </w:r>
            <w:r w:rsidR="00FA5AE1" w:rsidRPr="0002637B">
              <w:rPr>
                <w:rFonts w:ascii="Arial" w:hAnsi="Arial" w:cs="Arial"/>
                <w:bCs/>
              </w:rPr>
              <w:fldChar w:fldCharType="separate"/>
            </w:r>
            <w:r w:rsidR="00F07E6F" w:rsidRPr="0002637B">
              <w:rPr>
                <w:rFonts w:ascii="Arial" w:hAnsi="Arial" w:cs="Arial"/>
                <w:bCs/>
                <w:noProof/>
              </w:rPr>
              <w:t>1</w:t>
            </w:r>
            <w:r w:rsidR="00FA5AE1" w:rsidRPr="0002637B">
              <w:rPr>
                <w:rFonts w:ascii="Arial" w:hAnsi="Arial" w:cs="Arial"/>
                <w:bCs/>
              </w:rPr>
              <w:fldChar w:fldCharType="end"/>
            </w:r>
            <w:r w:rsidR="00FA5AE1" w:rsidRPr="0002637B">
              <w:rPr>
                <w:rFonts w:ascii="Arial" w:hAnsi="Arial" w:cs="Arial"/>
              </w:rPr>
              <w:t xml:space="preserve"> of </w:t>
            </w:r>
            <w:r w:rsidR="00FA5AE1" w:rsidRPr="0002637B">
              <w:rPr>
                <w:rFonts w:ascii="Arial" w:hAnsi="Arial" w:cs="Arial"/>
                <w:bCs/>
              </w:rPr>
              <w:fldChar w:fldCharType="begin"/>
            </w:r>
            <w:r w:rsidR="00FA5AE1" w:rsidRPr="0002637B">
              <w:rPr>
                <w:rFonts w:ascii="Arial" w:hAnsi="Arial" w:cs="Arial"/>
                <w:bCs/>
              </w:rPr>
              <w:instrText xml:space="preserve"> NUMPAGES  \* Arabic  \* MERGEFORMAT </w:instrText>
            </w:r>
            <w:r w:rsidR="00FA5AE1" w:rsidRPr="0002637B">
              <w:rPr>
                <w:rFonts w:ascii="Arial" w:hAnsi="Arial" w:cs="Arial"/>
                <w:bCs/>
              </w:rPr>
              <w:fldChar w:fldCharType="separate"/>
            </w:r>
            <w:r w:rsidR="00F07E6F" w:rsidRPr="0002637B">
              <w:rPr>
                <w:rFonts w:ascii="Arial" w:hAnsi="Arial" w:cs="Arial"/>
                <w:bCs/>
                <w:noProof/>
              </w:rPr>
              <w:t>1</w:t>
            </w:r>
            <w:r w:rsidR="00FA5AE1" w:rsidRPr="0002637B">
              <w:rPr>
                <w:rFonts w:ascii="Arial" w:hAnsi="Arial" w:cs="Arial"/>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02CF" w14:textId="77777777" w:rsidR="00D427DF" w:rsidRDefault="00D427DF" w:rsidP="00FA5AE1">
      <w:pPr>
        <w:spacing w:after="0" w:line="240" w:lineRule="auto"/>
      </w:pPr>
      <w:r>
        <w:separator/>
      </w:r>
    </w:p>
  </w:footnote>
  <w:footnote w:type="continuationSeparator" w:id="0">
    <w:p w14:paraId="0D807023"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37B"/>
    <w:rsid w:val="00026695"/>
    <w:rsid w:val="000348B0"/>
    <w:rsid w:val="00044AF4"/>
    <w:rsid w:val="00045F7A"/>
    <w:rsid w:val="00055901"/>
    <w:rsid w:val="000676B0"/>
    <w:rsid w:val="000759E0"/>
    <w:rsid w:val="0008695D"/>
    <w:rsid w:val="000A5B95"/>
    <w:rsid w:val="000B09E4"/>
    <w:rsid w:val="000B1EE7"/>
    <w:rsid w:val="000B4440"/>
    <w:rsid w:val="000B63E6"/>
    <w:rsid w:val="000B7CD0"/>
    <w:rsid w:val="000D3943"/>
    <w:rsid w:val="000E229F"/>
    <w:rsid w:val="000F4D89"/>
    <w:rsid w:val="00105123"/>
    <w:rsid w:val="001217A2"/>
    <w:rsid w:val="0012471F"/>
    <w:rsid w:val="00136DF2"/>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2E41C6"/>
    <w:rsid w:val="003044A7"/>
    <w:rsid w:val="0030452B"/>
    <w:rsid w:val="00304AD5"/>
    <w:rsid w:val="00314E20"/>
    <w:rsid w:val="0034049F"/>
    <w:rsid w:val="003650DE"/>
    <w:rsid w:val="00365E16"/>
    <w:rsid w:val="00365E5A"/>
    <w:rsid w:val="0037744F"/>
    <w:rsid w:val="003812B4"/>
    <w:rsid w:val="003834D0"/>
    <w:rsid w:val="003A451B"/>
    <w:rsid w:val="003B4BC5"/>
    <w:rsid w:val="003D2813"/>
    <w:rsid w:val="003D5721"/>
    <w:rsid w:val="003D6FF3"/>
    <w:rsid w:val="00401EED"/>
    <w:rsid w:val="004270E8"/>
    <w:rsid w:val="0045372B"/>
    <w:rsid w:val="004648B2"/>
    <w:rsid w:val="00470F7F"/>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96641"/>
    <w:rsid w:val="005A214A"/>
    <w:rsid w:val="005B481E"/>
    <w:rsid w:val="005C0FFD"/>
    <w:rsid w:val="005C29FF"/>
    <w:rsid w:val="005E108F"/>
    <w:rsid w:val="005E751F"/>
    <w:rsid w:val="005F00A3"/>
    <w:rsid w:val="005F2CD0"/>
    <w:rsid w:val="005F4473"/>
    <w:rsid w:val="005F5BBE"/>
    <w:rsid w:val="006017B8"/>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526CA"/>
    <w:rsid w:val="00780B44"/>
    <w:rsid w:val="00781EAE"/>
    <w:rsid w:val="00783B9A"/>
    <w:rsid w:val="00791695"/>
    <w:rsid w:val="007A0B76"/>
    <w:rsid w:val="007D6D7A"/>
    <w:rsid w:val="007E20A8"/>
    <w:rsid w:val="007F303C"/>
    <w:rsid w:val="007F32EB"/>
    <w:rsid w:val="008143F7"/>
    <w:rsid w:val="008161BC"/>
    <w:rsid w:val="008168BB"/>
    <w:rsid w:val="00836777"/>
    <w:rsid w:val="00837084"/>
    <w:rsid w:val="00843153"/>
    <w:rsid w:val="00846554"/>
    <w:rsid w:val="00847D23"/>
    <w:rsid w:val="00856393"/>
    <w:rsid w:val="00862A2A"/>
    <w:rsid w:val="00867C82"/>
    <w:rsid w:val="00871516"/>
    <w:rsid w:val="008949E2"/>
    <w:rsid w:val="00896405"/>
    <w:rsid w:val="008A36E4"/>
    <w:rsid w:val="008A6EEB"/>
    <w:rsid w:val="008D1035"/>
    <w:rsid w:val="008D346D"/>
    <w:rsid w:val="008F55F1"/>
    <w:rsid w:val="008F571E"/>
    <w:rsid w:val="009051E3"/>
    <w:rsid w:val="00926D35"/>
    <w:rsid w:val="00926E80"/>
    <w:rsid w:val="009331D7"/>
    <w:rsid w:val="0093563D"/>
    <w:rsid w:val="00965D1A"/>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36220"/>
    <w:rsid w:val="00A53637"/>
    <w:rsid w:val="00A57FE9"/>
    <w:rsid w:val="00A80541"/>
    <w:rsid w:val="00A82E9A"/>
    <w:rsid w:val="00A86C60"/>
    <w:rsid w:val="00AA101C"/>
    <w:rsid w:val="00AA1B45"/>
    <w:rsid w:val="00AA68B7"/>
    <w:rsid w:val="00AC228E"/>
    <w:rsid w:val="00AC5F17"/>
    <w:rsid w:val="00AD6431"/>
    <w:rsid w:val="00AE715E"/>
    <w:rsid w:val="00B16E79"/>
    <w:rsid w:val="00B368DC"/>
    <w:rsid w:val="00B64C8F"/>
    <w:rsid w:val="00B816D8"/>
    <w:rsid w:val="00B83122"/>
    <w:rsid w:val="00BA67C9"/>
    <w:rsid w:val="00BB7B84"/>
    <w:rsid w:val="00BC1F72"/>
    <w:rsid w:val="00BE271B"/>
    <w:rsid w:val="00BE4C28"/>
    <w:rsid w:val="00BF404C"/>
    <w:rsid w:val="00C038D2"/>
    <w:rsid w:val="00C03BBE"/>
    <w:rsid w:val="00C04E7E"/>
    <w:rsid w:val="00C06C83"/>
    <w:rsid w:val="00C11B13"/>
    <w:rsid w:val="00C1396B"/>
    <w:rsid w:val="00C21B3D"/>
    <w:rsid w:val="00C26B4E"/>
    <w:rsid w:val="00C66F21"/>
    <w:rsid w:val="00C70FDA"/>
    <w:rsid w:val="00C73336"/>
    <w:rsid w:val="00C917C7"/>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8E8"/>
    <w:rsid w:val="00D6479F"/>
    <w:rsid w:val="00DA78A1"/>
    <w:rsid w:val="00DB1971"/>
    <w:rsid w:val="00DB2597"/>
    <w:rsid w:val="00DB4A7D"/>
    <w:rsid w:val="00DB55E6"/>
    <w:rsid w:val="00DB7A31"/>
    <w:rsid w:val="00DC37C8"/>
    <w:rsid w:val="00DC5B83"/>
    <w:rsid w:val="00DD30EB"/>
    <w:rsid w:val="00DD58C5"/>
    <w:rsid w:val="00DD7AE2"/>
    <w:rsid w:val="00DF4BDC"/>
    <w:rsid w:val="00E04907"/>
    <w:rsid w:val="00E16D1F"/>
    <w:rsid w:val="00E31899"/>
    <w:rsid w:val="00E329D9"/>
    <w:rsid w:val="00E3312F"/>
    <w:rsid w:val="00E523B2"/>
    <w:rsid w:val="00E53242"/>
    <w:rsid w:val="00E54BCC"/>
    <w:rsid w:val="00E6362E"/>
    <w:rsid w:val="00E66181"/>
    <w:rsid w:val="00E75FE0"/>
    <w:rsid w:val="00E8155F"/>
    <w:rsid w:val="00E87260"/>
    <w:rsid w:val="00E95AE1"/>
    <w:rsid w:val="00EA01B4"/>
    <w:rsid w:val="00EB4AAF"/>
    <w:rsid w:val="00EB7B15"/>
    <w:rsid w:val="00EF6470"/>
    <w:rsid w:val="00F009E5"/>
    <w:rsid w:val="00F02CBA"/>
    <w:rsid w:val="00F07E6F"/>
    <w:rsid w:val="00F234F1"/>
    <w:rsid w:val="00F34065"/>
    <w:rsid w:val="00F523DE"/>
    <w:rsid w:val="00F57A47"/>
    <w:rsid w:val="00F6391E"/>
    <w:rsid w:val="00F74B72"/>
    <w:rsid w:val="00F756C9"/>
    <w:rsid w:val="00F83516"/>
    <w:rsid w:val="00F91B2C"/>
    <w:rsid w:val="00F93906"/>
    <w:rsid w:val="00F95B21"/>
    <w:rsid w:val="00FA2453"/>
    <w:rsid w:val="00FA5AE1"/>
    <w:rsid w:val="00FC130A"/>
    <w:rsid w:val="00FE0DC8"/>
    <w:rsid w:val="00FF015A"/>
    <w:rsid w:val="00FF52BB"/>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958A"/>
  <w15:docId w15:val="{7C047AE7-1783-4D5A-A800-67D3537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styleId="UnresolvedMention">
    <w:name w:val="Unresolved Mention"/>
    <w:basedOn w:val="DefaultParagraphFont"/>
    <w:uiPriority w:val="99"/>
    <w:semiHidden/>
    <w:unhideWhenUsed/>
    <w:rsid w:val="00F57A47"/>
    <w:rPr>
      <w:color w:val="605E5C"/>
      <w:shd w:val="clear" w:color="auto" w:fill="E1DFDD"/>
    </w:rPr>
  </w:style>
  <w:style w:type="character" w:styleId="FollowedHyperlink">
    <w:name w:val="FollowedHyperlink"/>
    <w:basedOn w:val="DefaultParagraphFont"/>
    <w:uiPriority w:val="99"/>
    <w:semiHidden/>
    <w:unhideWhenUsed/>
    <w:rsid w:val="00F57A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684823972">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asda/dpc/api/ipm/docs%5CDOD%20EVMIG-01-18-201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q.osd.mil/asda/dpc/api/ipm/docs/ipmdar%20implementation%20and%20tailoring%20guide_stampe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cq.osd.mil/asda/dpc/api/ipm/docs%5CDOD%20EVMIG-01-18-2019.pdf" TargetMode="External"/><Relationship Id="rId4" Type="http://schemas.openxmlformats.org/officeDocument/2006/relationships/webSettings" Target="webSettings.xml"/><Relationship Id="rId9" Type="http://schemas.openxmlformats.org/officeDocument/2006/relationships/hyperlink" Target="https://www.esd.whs.mil/Portals/54/Documents/DD/issuances/dodi/500085p.pdf?ver=2020-08-06-151441-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864A-2976-4338-870A-EDD6CD6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26</cp:revision>
  <cp:lastPrinted>2016-03-23T15:08:00Z</cp:lastPrinted>
  <dcterms:created xsi:type="dcterms:W3CDTF">2016-11-08T15:12:00Z</dcterms:created>
  <dcterms:modified xsi:type="dcterms:W3CDTF">2025-08-12T11:37:00Z</dcterms:modified>
</cp:coreProperties>
</file>