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60745" w14:textId="77777777" w:rsidR="00313FF2" w:rsidRDefault="00313FF2" w:rsidP="00313FF2">
      <w:pPr>
        <w:pStyle w:val="DFARS"/>
        <w:jc w:val="center"/>
        <w:rPr>
          <w:b/>
        </w:rPr>
      </w:pPr>
      <w:bookmarkStart w:id="0" w:name="219.702"/>
      <w:bookmarkStart w:id="1" w:name="BM219_7"/>
      <w:r>
        <w:rPr>
          <w:b/>
        </w:rPr>
        <w:t xml:space="preserve">DFARS </w:t>
      </w:r>
      <w:r w:rsidR="00F2207E">
        <w:rPr>
          <w:b/>
        </w:rPr>
        <w:t>Technical Amendment</w:t>
      </w:r>
    </w:p>
    <w:p w14:paraId="6D319F95" w14:textId="77777777" w:rsidR="00313FF2" w:rsidRDefault="00313FF2" w:rsidP="00A34A97">
      <w:pPr>
        <w:pStyle w:val="DFARS"/>
        <w:rPr>
          <w:b/>
        </w:rPr>
      </w:pPr>
    </w:p>
    <w:p w14:paraId="23C3F5D7" w14:textId="77777777" w:rsidR="00313FF2" w:rsidRDefault="00313FF2" w:rsidP="00A34A97">
      <w:pPr>
        <w:pStyle w:val="DFARS"/>
        <w:rPr>
          <w:b/>
        </w:rPr>
      </w:pPr>
    </w:p>
    <w:p w14:paraId="2FBB035C" w14:textId="77777777" w:rsidR="00313FF2" w:rsidRDefault="00313FF2" w:rsidP="00A34A97">
      <w:pPr>
        <w:pStyle w:val="DFARS"/>
        <w:rPr>
          <w:b/>
        </w:rPr>
      </w:pPr>
      <w:r>
        <w:rPr>
          <w:b/>
        </w:rPr>
        <w:t>PART 2</w:t>
      </w:r>
      <w:r w:rsidR="00F2207E">
        <w:rPr>
          <w:b/>
        </w:rPr>
        <w:t>07</w:t>
      </w:r>
      <w:r>
        <w:rPr>
          <w:b/>
        </w:rPr>
        <w:t>—</w:t>
      </w:r>
      <w:r w:rsidR="00F2207E">
        <w:rPr>
          <w:b/>
        </w:rPr>
        <w:t>ACQUISITION PLANNING</w:t>
      </w:r>
    </w:p>
    <w:p w14:paraId="347CBA7D" w14:textId="77777777" w:rsidR="00313FF2" w:rsidRDefault="00313FF2" w:rsidP="00A34A97">
      <w:pPr>
        <w:pStyle w:val="DFARS"/>
        <w:rPr>
          <w:b/>
        </w:rPr>
      </w:pPr>
    </w:p>
    <w:p w14:paraId="300B0DA0" w14:textId="77777777" w:rsidR="00313FF2" w:rsidRDefault="00313FF2" w:rsidP="00313FF2">
      <w:pPr>
        <w:pStyle w:val="DFARS"/>
        <w:jc w:val="center"/>
        <w:rPr>
          <w:b/>
        </w:rPr>
      </w:pPr>
      <w:r>
        <w:rPr>
          <w:b/>
        </w:rPr>
        <w:t>SUBPART 2</w:t>
      </w:r>
      <w:r w:rsidR="00F2207E">
        <w:rPr>
          <w:b/>
        </w:rPr>
        <w:t>07</w:t>
      </w:r>
      <w:r>
        <w:rPr>
          <w:b/>
        </w:rPr>
        <w:t>.</w:t>
      </w:r>
      <w:r w:rsidR="00F2207E">
        <w:rPr>
          <w:b/>
        </w:rPr>
        <w:t>1</w:t>
      </w:r>
      <w:r>
        <w:rPr>
          <w:b/>
        </w:rPr>
        <w:t>—</w:t>
      </w:r>
      <w:r w:rsidR="00F2207E">
        <w:rPr>
          <w:b/>
        </w:rPr>
        <w:t>ACQUISITION PLANS</w:t>
      </w:r>
    </w:p>
    <w:p w14:paraId="33168027" w14:textId="77777777" w:rsidR="00313FF2" w:rsidRDefault="00313FF2" w:rsidP="00A34A97">
      <w:pPr>
        <w:pStyle w:val="DFARS"/>
        <w:rPr>
          <w:b/>
        </w:rPr>
      </w:pPr>
    </w:p>
    <w:p w14:paraId="013F2785" w14:textId="77777777" w:rsidR="00313FF2" w:rsidRDefault="00313FF2" w:rsidP="00A34A97">
      <w:pPr>
        <w:pStyle w:val="DFARS"/>
        <w:rPr>
          <w:b/>
        </w:rPr>
      </w:pPr>
    </w:p>
    <w:p w14:paraId="6EDBDA80" w14:textId="77777777" w:rsidR="00D558E8" w:rsidRDefault="00313FF2" w:rsidP="00A34A97">
      <w:pPr>
        <w:pStyle w:val="DFARS"/>
        <w:rPr>
          <w:b/>
        </w:rPr>
      </w:pPr>
      <w:r>
        <w:rPr>
          <w:b/>
        </w:rPr>
        <w:t>2</w:t>
      </w:r>
      <w:r w:rsidR="00F2207E">
        <w:rPr>
          <w:b/>
        </w:rPr>
        <w:t>07</w:t>
      </w:r>
      <w:r>
        <w:rPr>
          <w:b/>
        </w:rPr>
        <w:t>.</w:t>
      </w:r>
      <w:r w:rsidR="00F2207E">
        <w:rPr>
          <w:b/>
        </w:rPr>
        <w:t>106</w:t>
      </w:r>
      <w:r>
        <w:rPr>
          <w:b/>
        </w:rPr>
        <w:t xml:space="preserve">  </w:t>
      </w:r>
      <w:r w:rsidR="00F2207E">
        <w:rPr>
          <w:b/>
        </w:rPr>
        <w:t>Additional requirements for major systems</w:t>
      </w:r>
      <w:r>
        <w:rPr>
          <w:b/>
        </w:rPr>
        <w:t>.</w:t>
      </w:r>
    </w:p>
    <w:p w14:paraId="035A61C2" w14:textId="77777777" w:rsidR="00313FF2" w:rsidRDefault="00313FF2" w:rsidP="00A34A97">
      <w:pPr>
        <w:pStyle w:val="DFARS"/>
        <w:rPr>
          <w:b/>
        </w:rPr>
      </w:pPr>
    </w:p>
    <w:p w14:paraId="3D64F4DE" w14:textId="77777777" w:rsidR="00313FF2" w:rsidRDefault="00044ECF" w:rsidP="00A34A97">
      <w:pPr>
        <w:pStyle w:val="DFARS"/>
      </w:pPr>
      <w:r>
        <w:t xml:space="preserve">* * </w:t>
      </w:r>
      <w:r w:rsidR="00F2207E">
        <w:t>* * *</w:t>
      </w:r>
    </w:p>
    <w:p w14:paraId="6512B4A0" w14:textId="77777777" w:rsidR="00044ECF" w:rsidRDefault="00044ECF" w:rsidP="00A34A97">
      <w:pPr>
        <w:pStyle w:val="DFARS"/>
      </w:pPr>
    </w:p>
    <w:p w14:paraId="19A83F03" w14:textId="77777777" w:rsidR="00044ECF" w:rsidRDefault="00044ECF" w:rsidP="00A34A97">
      <w:pPr>
        <w:pStyle w:val="DFARS"/>
      </w:pPr>
      <w:r>
        <w:tab/>
        <w:t>(S-70)(1)  * * *</w:t>
      </w:r>
    </w:p>
    <w:p w14:paraId="6686043E" w14:textId="77777777" w:rsidR="00044ECF" w:rsidRDefault="00044ECF" w:rsidP="00A34A97">
      <w:pPr>
        <w:pStyle w:val="DFARS"/>
      </w:pPr>
    </w:p>
    <w:p w14:paraId="3E5DBA88" w14:textId="77777777" w:rsidR="00044ECF" w:rsidRDefault="00044ECF" w:rsidP="00A34A97">
      <w:pPr>
        <w:pStyle w:val="DFARS"/>
      </w:pPr>
      <w:r>
        <w:tab/>
      </w:r>
      <w:r>
        <w:tab/>
        <w:t xml:space="preserve">(2)  </w:t>
      </w:r>
      <w:r w:rsidRPr="00044ECF">
        <w:t>Assessments and corresponding acquisition strategies developed under this section shall—</w:t>
      </w:r>
    </w:p>
    <w:p w14:paraId="2CC9BE7C" w14:textId="77777777" w:rsidR="00044ECF" w:rsidRDefault="00044ECF" w:rsidP="00A34A97">
      <w:pPr>
        <w:pStyle w:val="DFARS"/>
      </w:pPr>
    </w:p>
    <w:p w14:paraId="529D7509" w14:textId="77777777" w:rsidR="00044ECF" w:rsidRDefault="00044ECF" w:rsidP="00A34A97">
      <w:pPr>
        <w:pStyle w:val="DFARS"/>
      </w:pPr>
      <w:r>
        <w:tab/>
      </w:r>
      <w:r>
        <w:tab/>
      </w:r>
      <w:r>
        <w:tab/>
        <w:t>(</w:t>
      </w:r>
      <w:proofErr w:type="spellStart"/>
      <w:r>
        <w:t>i</w:t>
      </w:r>
      <w:proofErr w:type="spellEnd"/>
      <w:r>
        <w:t xml:space="preserve">)  </w:t>
      </w:r>
      <w:r w:rsidRPr="00044ECF">
        <w:t>Be developed before issuance of a solicitation for the weapon system or subsystem;</w:t>
      </w:r>
    </w:p>
    <w:p w14:paraId="7D9FB9E0" w14:textId="77777777" w:rsidR="00044ECF" w:rsidRDefault="00044ECF" w:rsidP="00A34A97">
      <w:pPr>
        <w:pStyle w:val="DFARS"/>
      </w:pPr>
    </w:p>
    <w:p w14:paraId="73AABDE2" w14:textId="77777777" w:rsidR="00044ECF" w:rsidRDefault="00044ECF" w:rsidP="00A34A97">
      <w:pPr>
        <w:pStyle w:val="DFARS"/>
        <w:rPr>
          <w:i/>
          <w:iCs/>
        </w:rPr>
      </w:pPr>
      <w:r>
        <w:tab/>
      </w:r>
      <w:r>
        <w:tab/>
      </w:r>
      <w:r>
        <w:tab/>
        <w:t xml:space="preserve">(ii)  </w:t>
      </w:r>
      <w:r w:rsidRPr="00044ECF">
        <w:t>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207.105(b)(14)(ii)</w:t>
      </w:r>
      <w:r w:rsidRPr="00044ECF">
        <w:rPr>
          <w:i/>
          <w:iCs/>
        </w:rPr>
        <w:t>(2);</w:t>
      </w:r>
    </w:p>
    <w:p w14:paraId="78437C83" w14:textId="77777777" w:rsidR="00044ECF" w:rsidRDefault="00044ECF" w:rsidP="00A34A97">
      <w:pPr>
        <w:pStyle w:val="DFARS"/>
        <w:rPr>
          <w:iCs/>
        </w:rPr>
      </w:pPr>
    </w:p>
    <w:p w14:paraId="500C9FB4" w14:textId="77777777" w:rsidR="00044ECF" w:rsidRDefault="00044ECF" w:rsidP="00A34A97">
      <w:pPr>
        <w:pStyle w:val="DFARS"/>
        <w:rPr>
          <w:iCs/>
        </w:rPr>
      </w:pPr>
      <w:r>
        <w:rPr>
          <w:iCs/>
        </w:rPr>
        <w:tab/>
      </w:r>
      <w:r>
        <w:rPr>
          <w:iCs/>
        </w:rPr>
        <w:tab/>
      </w:r>
      <w:r>
        <w:rPr>
          <w:iCs/>
        </w:rPr>
        <w:tab/>
        <w:t xml:space="preserve">(iii)  </w:t>
      </w:r>
      <w:r w:rsidRPr="00044ECF">
        <w:rPr>
          <w:iCs/>
        </w:rPr>
        <w:t>Address the merits of including a priced contract option for the future delivery of technical data and computer software, and associated license rights, that were not acquired upon initial contract award;</w:t>
      </w:r>
    </w:p>
    <w:p w14:paraId="0F57AECF" w14:textId="77777777" w:rsidR="00044ECF" w:rsidRDefault="00044ECF" w:rsidP="00A34A97">
      <w:pPr>
        <w:pStyle w:val="DFARS"/>
        <w:rPr>
          <w:iCs/>
        </w:rPr>
      </w:pPr>
    </w:p>
    <w:p w14:paraId="31D9FCB0" w14:textId="77777777" w:rsidR="00044ECF" w:rsidRDefault="00044ECF" w:rsidP="00A34A97">
      <w:pPr>
        <w:pStyle w:val="DFARS"/>
        <w:rPr>
          <w:iCs/>
        </w:rPr>
      </w:pPr>
      <w:r>
        <w:rPr>
          <w:iCs/>
        </w:rPr>
        <w:tab/>
      </w:r>
      <w:r>
        <w:rPr>
          <w:iCs/>
        </w:rPr>
        <w:tab/>
      </w:r>
      <w:r>
        <w:rPr>
          <w:iCs/>
        </w:rPr>
        <w:tab/>
        <w:t xml:space="preserve">(iv)  </w:t>
      </w:r>
      <w:r w:rsidRPr="00044ECF">
        <w:rPr>
          <w:iCs/>
        </w:rPr>
        <w:t>Address the potential for changes in the sustainment plan over the life cycle of the weapon system or subsystem; and</w:t>
      </w:r>
    </w:p>
    <w:p w14:paraId="12BFBC57" w14:textId="77777777" w:rsidR="00044ECF" w:rsidRDefault="00044ECF" w:rsidP="00A34A97">
      <w:pPr>
        <w:pStyle w:val="DFARS"/>
        <w:rPr>
          <w:iCs/>
        </w:rPr>
      </w:pPr>
    </w:p>
    <w:p w14:paraId="60A90542" w14:textId="77777777" w:rsidR="00044ECF" w:rsidRDefault="00044ECF" w:rsidP="00A34A97">
      <w:pPr>
        <w:pStyle w:val="DFARS"/>
        <w:rPr>
          <w:iCs/>
        </w:rPr>
      </w:pPr>
      <w:r>
        <w:rPr>
          <w:iCs/>
        </w:rPr>
        <w:tab/>
      </w:r>
      <w:r>
        <w:rPr>
          <w:iCs/>
        </w:rPr>
        <w:tab/>
      </w:r>
      <w:r>
        <w:rPr>
          <w:iCs/>
        </w:rPr>
        <w:tab/>
        <w:t xml:space="preserve">(v)  </w:t>
      </w:r>
      <w:r w:rsidRPr="00044ECF">
        <w:rPr>
          <w:iCs/>
        </w:rPr>
        <w:t>Apply to weapon systems and subsystems that are to be supported by performance-based logistics arrangements as well as to weapon systems and subsystems that are to be supported by other sustainment approaches.</w:t>
      </w:r>
    </w:p>
    <w:p w14:paraId="4F3BA2E5" w14:textId="77777777" w:rsidR="00044ECF" w:rsidRDefault="00044ECF" w:rsidP="00A34A97">
      <w:pPr>
        <w:pStyle w:val="DFARS"/>
        <w:rPr>
          <w:iCs/>
        </w:rPr>
      </w:pPr>
    </w:p>
    <w:p w14:paraId="3DE516F0" w14:textId="77777777" w:rsidR="00044ECF" w:rsidRPr="00044ECF" w:rsidRDefault="00044ECF" w:rsidP="00A34A97">
      <w:pPr>
        <w:pStyle w:val="DFARS"/>
        <w:rPr>
          <w:iCs/>
          <w:strike/>
        </w:rPr>
      </w:pPr>
      <w:r w:rsidRPr="00044ECF">
        <w:rPr>
          <w:iCs/>
          <w:strike/>
        </w:rPr>
        <w:tab/>
      </w:r>
      <w:r w:rsidRPr="00044ECF">
        <w:rPr>
          <w:iCs/>
          <w:strike/>
        </w:rPr>
        <w:tab/>
      </w:r>
      <w:r w:rsidRPr="00044ECF">
        <w:rPr>
          <w:iCs/>
          <w:strike/>
        </w:rPr>
        <w:tab/>
        <w:t>(ii)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207.105(b)(14)(ii)(</w:t>
      </w:r>
      <w:r w:rsidRPr="00A06036">
        <w:rPr>
          <w:i/>
          <w:iCs/>
          <w:strike/>
        </w:rPr>
        <w:t>2</w:t>
      </w:r>
      <w:r w:rsidRPr="00044ECF">
        <w:rPr>
          <w:iCs/>
          <w:strike/>
        </w:rPr>
        <w:t>);</w:t>
      </w:r>
    </w:p>
    <w:p w14:paraId="18ADD6AC" w14:textId="77777777" w:rsidR="00044ECF" w:rsidRDefault="00044ECF" w:rsidP="00A34A97">
      <w:pPr>
        <w:pStyle w:val="DFARS"/>
        <w:rPr>
          <w:iCs/>
        </w:rPr>
      </w:pPr>
    </w:p>
    <w:p w14:paraId="60114406" w14:textId="77777777" w:rsidR="00044ECF" w:rsidRDefault="00044ECF" w:rsidP="00A34A97">
      <w:pPr>
        <w:pStyle w:val="DFARS"/>
      </w:pPr>
      <w:r>
        <w:tab/>
        <w:t>(S-71)  * * *</w:t>
      </w:r>
    </w:p>
    <w:p w14:paraId="116B7539" w14:textId="77777777" w:rsidR="00044ECF" w:rsidRDefault="00044ECF" w:rsidP="00A34A97">
      <w:pPr>
        <w:pStyle w:val="DFARS"/>
      </w:pPr>
    </w:p>
    <w:p w14:paraId="627CB36B" w14:textId="77777777" w:rsidR="00044ECF" w:rsidRPr="00044ECF" w:rsidRDefault="00044ECF" w:rsidP="00A34A97">
      <w:pPr>
        <w:pStyle w:val="DFARS"/>
      </w:pPr>
      <w:r>
        <w:t>* * * * *</w:t>
      </w:r>
    </w:p>
    <w:bookmarkEnd w:id="0"/>
    <w:bookmarkEnd w:id="1"/>
    <w:p w14:paraId="64FBF40C" w14:textId="77777777" w:rsidR="00D55651" w:rsidRDefault="00D55651" w:rsidP="00A34A97">
      <w:pPr>
        <w:pStyle w:val="DFARS"/>
      </w:pPr>
    </w:p>
    <w:p w14:paraId="30CE6AF1" w14:textId="77777777" w:rsidR="00182C31" w:rsidRDefault="00182C31" w:rsidP="00182C31">
      <w:pPr>
        <w:pStyle w:val="DFARS"/>
        <w:rPr>
          <w:b/>
        </w:rPr>
      </w:pPr>
      <w:r>
        <w:rPr>
          <w:b/>
        </w:rPr>
        <w:t>PART 213—SIMPLIFIED ACQUISITION PROCEDURES</w:t>
      </w:r>
    </w:p>
    <w:p w14:paraId="79E97FAE" w14:textId="77777777" w:rsidR="00137D35" w:rsidRDefault="00137D35" w:rsidP="00182C31">
      <w:pPr>
        <w:pStyle w:val="DFARS"/>
        <w:rPr>
          <w:b/>
        </w:rPr>
      </w:pPr>
    </w:p>
    <w:p w14:paraId="0DD43824" w14:textId="77777777" w:rsidR="00182C31" w:rsidRDefault="00182C31" w:rsidP="00182C31">
      <w:pPr>
        <w:pStyle w:val="DFARS"/>
        <w:rPr>
          <w:b/>
        </w:rPr>
      </w:pPr>
      <w:r>
        <w:rPr>
          <w:b/>
        </w:rPr>
        <w:t>* * * * *</w:t>
      </w:r>
    </w:p>
    <w:p w14:paraId="217A6F5B" w14:textId="77777777" w:rsidR="00137D35" w:rsidRDefault="00137D35" w:rsidP="00182C31">
      <w:pPr>
        <w:pStyle w:val="DFARS"/>
        <w:rPr>
          <w:b/>
        </w:rPr>
      </w:pPr>
    </w:p>
    <w:p w14:paraId="710ECB53" w14:textId="77777777" w:rsidR="00182C31" w:rsidRDefault="00182C31" w:rsidP="00182C31">
      <w:pPr>
        <w:pStyle w:val="DFARS"/>
        <w:jc w:val="center"/>
        <w:rPr>
          <w:b/>
        </w:rPr>
      </w:pPr>
      <w:r>
        <w:rPr>
          <w:b/>
        </w:rPr>
        <w:t>SUBPART 213.3—SIMPLIFIED ACQUISITION METHODS</w:t>
      </w:r>
    </w:p>
    <w:p w14:paraId="5F9B241D" w14:textId="77777777" w:rsidR="00182C31" w:rsidRDefault="00182C31" w:rsidP="00182C31">
      <w:pPr>
        <w:pStyle w:val="DFARS"/>
        <w:rPr>
          <w:b/>
        </w:rPr>
      </w:pPr>
    </w:p>
    <w:p w14:paraId="5DC55B34" w14:textId="77777777" w:rsidR="00182C31" w:rsidRDefault="00182C31" w:rsidP="00182C31">
      <w:pPr>
        <w:pStyle w:val="DFARS"/>
        <w:rPr>
          <w:b/>
        </w:rPr>
      </w:pPr>
    </w:p>
    <w:p w14:paraId="7748BE97" w14:textId="77777777" w:rsidR="00182C31" w:rsidRDefault="00182C31" w:rsidP="00182C31">
      <w:pPr>
        <w:pStyle w:val="DFARS"/>
        <w:rPr>
          <w:b/>
        </w:rPr>
      </w:pPr>
      <w:r>
        <w:rPr>
          <w:b/>
        </w:rPr>
        <w:lastRenderedPageBreak/>
        <w:t>213.301  Governmentwide commercial purchase card.</w:t>
      </w:r>
    </w:p>
    <w:p w14:paraId="3CC4ABDB" w14:textId="77777777" w:rsidR="00182C31" w:rsidRDefault="00182C31" w:rsidP="00182C31">
      <w:pPr>
        <w:pStyle w:val="DFARS"/>
        <w:rPr>
          <w:b/>
        </w:rPr>
      </w:pPr>
    </w:p>
    <w:p w14:paraId="6001B3EB" w14:textId="77777777" w:rsidR="00182C31" w:rsidRDefault="00182C31" w:rsidP="00182C31">
      <w:pPr>
        <w:pStyle w:val="DFARS"/>
      </w:pPr>
      <w:r>
        <w:t>* * * * *</w:t>
      </w:r>
    </w:p>
    <w:p w14:paraId="3C602386" w14:textId="77777777" w:rsidR="00182C31" w:rsidRDefault="00182C31" w:rsidP="00A34A97">
      <w:pPr>
        <w:pStyle w:val="DFARS"/>
      </w:pPr>
    </w:p>
    <w:p w14:paraId="4F3FADC3" w14:textId="77777777" w:rsidR="00182C31" w:rsidRDefault="00182C31" w:rsidP="00A34A97">
      <w:pPr>
        <w:pStyle w:val="DFARS"/>
      </w:pPr>
      <w:r>
        <w:tab/>
      </w:r>
      <w:r w:rsidRPr="00182C31">
        <w:t>(4)</w:t>
      </w:r>
      <w:r>
        <w:t xml:space="preserve"> </w:t>
      </w:r>
      <w:r w:rsidRPr="00182C31">
        <w:t xml:space="preserve"> Guidance on DoD purchase, travel, and fuel card programs is available in the “Department of Defense Government Charge Card Guidebook for Establishing and Managing Purchase, Travel, and Fuel Card Programs” at </w:t>
      </w:r>
      <w:r w:rsidRPr="00182C31">
        <w:rPr>
          <w:i/>
          <w:strike/>
        </w:rPr>
        <w:t>http://www.acq.osd.mil/dpap/pdi/pc/policy/__documents.html</w:t>
      </w:r>
      <w:r>
        <w:rPr>
          <w:b/>
        </w:rPr>
        <w:t>[</w:t>
      </w:r>
      <w:r w:rsidRPr="00182C31">
        <w:rPr>
          <w:b/>
          <w:i/>
        </w:rPr>
        <w:t>https://www.acq.osd.mil/dpap/pdi/pc/policy_documents.html</w:t>
      </w:r>
      <w:r>
        <w:rPr>
          <w:b/>
        </w:rPr>
        <w:t>]</w:t>
      </w:r>
      <w:r w:rsidRPr="00182C31">
        <w:t>.</w:t>
      </w:r>
      <w:r w:rsidR="00A06036">
        <w:t xml:space="preserve"> </w:t>
      </w:r>
      <w:r w:rsidRPr="00182C31">
        <w:t xml:space="preserve"> Additional guidance on the fuel card programs is available at </w:t>
      </w:r>
      <w:r w:rsidRPr="00182C31">
        <w:rPr>
          <w:i/>
          <w:strike/>
        </w:rPr>
        <w:t>http://www.energy.dla.mil</w:t>
      </w:r>
      <w:r>
        <w:rPr>
          <w:b/>
        </w:rPr>
        <w:t>[</w:t>
      </w:r>
      <w:r w:rsidRPr="00182C31">
        <w:rPr>
          <w:b/>
          <w:i/>
        </w:rPr>
        <w:t>https://www.dla.mil/Energy/Offers/Products/GovernmentFuel/</w:t>
      </w:r>
      <w:r>
        <w:rPr>
          <w:b/>
        </w:rPr>
        <w:t>]</w:t>
      </w:r>
      <w:r w:rsidRPr="00182C31">
        <w:t>.</w:t>
      </w:r>
    </w:p>
    <w:p w14:paraId="58F9E2C3" w14:textId="77777777" w:rsidR="00182C31" w:rsidRDefault="00182C31" w:rsidP="00A34A97">
      <w:pPr>
        <w:pStyle w:val="DFARS"/>
      </w:pPr>
    </w:p>
    <w:p w14:paraId="057D3347" w14:textId="77777777" w:rsidR="00182C31" w:rsidRDefault="00182C31" w:rsidP="00A34A97">
      <w:pPr>
        <w:pStyle w:val="DFARS"/>
      </w:pPr>
      <w:r>
        <w:t>* * * * *</w:t>
      </w:r>
    </w:p>
    <w:p w14:paraId="2F24D581" w14:textId="77777777" w:rsidR="00182C31" w:rsidRDefault="00182C31" w:rsidP="00A34A97">
      <w:pPr>
        <w:pStyle w:val="DFARS"/>
      </w:pPr>
    </w:p>
    <w:p w14:paraId="331F7DDF" w14:textId="77777777" w:rsidR="00182C31" w:rsidRDefault="00182C31" w:rsidP="00182C31">
      <w:pPr>
        <w:pStyle w:val="DFARS"/>
        <w:rPr>
          <w:b/>
        </w:rPr>
      </w:pPr>
      <w:r>
        <w:rPr>
          <w:b/>
        </w:rPr>
        <w:t>PART 215—CONTRACTING BY NEGOTIATION</w:t>
      </w:r>
    </w:p>
    <w:p w14:paraId="5A2C9CD7" w14:textId="77777777" w:rsidR="00137D35" w:rsidRDefault="00137D35" w:rsidP="00182C31">
      <w:pPr>
        <w:pStyle w:val="DFARS"/>
        <w:rPr>
          <w:b/>
        </w:rPr>
      </w:pPr>
    </w:p>
    <w:p w14:paraId="7C89D339" w14:textId="77777777" w:rsidR="00182C31" w:rsidRDefault="00182C31" w:rsidP="00182C31">
      <w:pPr>
        <w:pStyle w:val="DFARS"/>
        <w:rPr>
          <w:b/>
        </w:rPr>
      </w:pPr>
      <w:r>
        <w:rPr>
          <w:b/>
        </w:rPr>
        <w:t>* * * * *</w:t>
      </w:r>
    </w:p>
    <w:p w14:paraId="4E7919DB" w14:textId="77777777" w:rsidR="00137D35" w:rsidRDefault="00137D35" w:rsidP="00182C31">
      <w:pPr>
        <w:pStyle w:val="DFARS"/>
        <w:rPr>
          <w:b/>
        </w:rPr>
      </w:pPr>
    </w:p>
    <w:p w14:paraId="16E1D2FC" w14:textId="77777777" w:rsidR="00182C31" w:rsidRDefault="00182C31" w:rsidP="00182C31">
      <w:pPr>
        <w:pStyle w:val="DFARS"/>
        <w:jc w:val="center"/>
        <w:rPr>
          <w:b/>
        </w:rPr>
      </w:pPr>
      <w:r>
        <w:rPr>
          <w:b/>
        </w:rPr>
        <w:t>SUBPART 215.4—</w:t>
      </w:r>
      <w:r w:rsidR="00137D35">
        <w:rPr>
          <w:b/>
        </w:rPr>
        <w:t>CONTRACT PRICING</w:t>
      </w:r>
    </w:p>
    <w:p w14:paraId="7067BAA7" w14:textId="77777777" w:rsidR="00182C31" w:rsidRDefault="00182C31" w:rsidP="00182C31">
      <w:pPr>
        <w:pStyle w:val="DFARS"/>
        <w:rPr>
          <w:b/>
        </w:rPr>
      </w:pPr>
    </w:p>
    <w:p w14:paraId="56707FD8" w14:textId="77777777" w:rsidR="00182C31" w:rsidRDefault="00182C31" w:rsidP="00182C31">
      <w:pPr>
        <w:pStyle w:val="DFARS"/>
        <w:rPr>
          <w:b/>
        </w:rPr>
      </w:pPr>
    </w:p>
    <w:p w14:paraId="34E55FF4" w14:textId="77777777" w:rsidR="00182C31" w:rsidRDefault="00182C31" w:rsidP="00182C31">
      <w:pPr>
        <w:pStyle w:val="DFARS"/>
        <w:rPr>
          <w:b/>
        </w:rPr>
      </w:pPr>
      <w:r>
        <w:rPr>
          <w:b/>
        </w:rPr>
        <w:t>21</w:t>
      </w:r>
      <w:r w:rsidR="007629FE">
        <w:rPr>
          <w:b/>
        </w:rPr>
        <w:t>5</w:t>
      </w:r>
      <w:r>
        <w:rPr>
          <w:b/>
        </w:rPr>
        <w:t>.</w:t>
      </w:r>
      <w:r w:rsidR="00137D35">
        <w:rPr>
          <w:b/>
        </w:rPr>
        <w:t>404-71-3</w:t>
      </w:r>
      <w:r>
        <w:rPr>
          <w:b/>
        </w:rPr>
        <w:t xml:space="preserve">  </w:t>
      </w:r>
      <w:r w:rsidR="00137D35">
        <w:rPr>
          <w:b/>
        </w:rPr>
        <w:t>Contract type risk and working capital adjustment</w:t>
      </w:r>
      <w:r>
        <w:rPr>
          <w:b/>
        </w:rPr>
        <w:t>.</w:t>
      </w:r>
    </w:p>
    <w:p w14:paraId="5E9EEF5A" w14:textId="77777777" w:rsidR="00182C31" w:rsidRDefault="00182C31" w:rsidP="00A34A97">
      <w:pPr>
        <w:pStyle w:val="DFARS"/>
      </w:pPr>
    </w:p>
    <w:p w14:paraId="12513620" w14:textId="77777777" w:rsidR="00137D35" w:rsidRDefault="00137D35" w:rsidP="00A34A97">
      <w:pPr>
        <w:pStyle w:val="DFARS"/>
      </w:pPr>
      <w:r>
        <w:t>* * * * *</w:t>
      </w:r>
    </w:p>
    <w:p w14:paraId="509628B7" w14:textId="77777777" w:rsidR="00137D35" w:rsidRDefault="00137D35" w:rsidP="00A34A97">
      <w:pPr>
        <w:pStyle w:val="DFARS"/>
      </w:pPr>
    </w:p>
    <w:p w14:paraId="2BA4CC13" w14:textId="77777777" w:rsidR="00137D35" w:rsidRDefault="00E96BB0" w:rsidP="00A34A97">
      <w:pPr>
        <w:pStyle w:val="DFARS"/>
      </w:pPr>
      <w:r>
        <w:tab/>
        <w:t xml:space="preserve">(c)  </w:t>
      </w:r>
      <w:r>
        <w:rPr>
          <w:i/>
        </w:rPr>
        <w:t>Values:  Normal and designated ranges.</w:t>
      </w:r>
    </w:p>
    <w:p w14:paraId="69A13298" w14:textId="681ED878" w:rsidR="00D53312" w:rsidRDefault="00D53312" w:rsidP="007629FE">
      <w:pPr>
        <w:pStyle w:val="DFARS"/>
      </w:pPr>
    </w:p>
    <w:tbl>
      <w:tblPr>
        <w:tblW w:w="9360"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06"/>
        <w:gridCol w:w="946"/>
        <w:gridCol w:w="1214"/>
        <w:gridCol w:w="1594"/>
      </w:tblGrid>
      <w:tr w:rsidR="00D53312" w:rsidRPr="00476ED4" w14:paraId="098BEC25" w14:textId="77777777" w:rsidTr="00D53312">
        <w:tc>
          <w:tcPr>
            <w:tcW w:w="5606" w:type="dxa"/>
            <w:tcBorders>
              <w:top w:val="single" w:sz="6" w:space="0" w:color="auto"/>
              <w:bottom w:val="nil"/>
              <w:right w:val="single" w:sz="6" w:space="0" w:color="auto"/>
            </w:tcBorders>
          </w:tcPr>
          <w:p w14:paraId="30854C9F" w14:textId="77777777" w:rsidR="00D53312" w:rsidRPr="00476ED4" w:rsidRDefault="00D53312" w:rsidP="007E4324">
            <w:pPr>
              <w:pStyle w:val="DFARS"/>
              <w:keepNext/>
              <w:keepLines/>
              <w:jc w:val="center"/>
              <w:rPr>
                <w:szCs w:val="24"/>
              </w:rPr>
            </w:pPr>
          </w:p>
        </w:tc>
        <w:tc>
          <w:tcPr>
            <w:tcW w:w="946" w:type="dxa"/>
            <w:tcBorders>
              <w:top w:val="single" w:sz="6" w:space="0" w:color="auto"/>
              <w:left w:val="nil"/>
              <w:bottom w:val="nil"/>
              <w:right w:val="single" w:sz="6" w:space="0" w:color="auto"/>
            </w:tcBorders>
          </w:tcPr>
          <w:p w14:paraId="04D93227" w14:textId="77777777" w:rsidR="00D53312" w:rsidRPr="00476ED4" w:rsidRDefault="00D53312" w:rsidP="007E4324">
            <w:pPr>
              <w:pStyle w:val="DFARS"/>
              <w:jc w:val="center"/>
              <w:rPr>
                <w:szCs w:val="24"/>
              </w:rPr>
            </w:pPr>
          </w:p>
        </w:tc>
        <w:tc>
          <w:tcPr>
            <w:tcW w:w="1214" w:type="dxa"/>
            <w:tcBorders>
              <w:top w:val="single" w:sz="6" w:space="0" w:color="auto"/>
              <w:left w:val="nil"/>
              <w:bottom w:val="nil"/>
              <w:right w:val="single" w:sz="6" w:space="0" w:color="auto"/>
            </w:tcBorders>
          </w:tcPr>
          <w:p w14:paraId="1B65B319" w14:textId="77777777" w:rsidR="00D53312" w:rsidRPr="00476ED4" w:rsidRDefault="00D53312" w:rsidP="007E4324">
            <w:pPr>
              <w:pStyle w:val="DFARS"/>
              <w:jc w:val="center"/>
              <w:rPr>
                <w:szCs w:val="24"/>
              </w:rPr>
            </w:pPr>
            <w:r w:rsidRPr="00476ED4">
              <w:rPr>
                <w:szCs w:val="24"/>
              </w:rPr>
              <w:t>Normal</w:t>
            </w:r>
          </w:p>
        </w:tc>
        <w:tc>
          <w:tcPr>
            <w:tcW w:w="1594" w:type="dxa"/>
            <w:tcBorders>
              <w:top w:val="single" w:sz="6" w:space="0" w:color="auto"/>
              <w:left w:val="nil"/>
              <w:bottom w:val="nil"/>
            </w:tcBorders>
          </w:tcPr>
          <w:p w14:paraId="27949103" w14:textId="77777777" w:rsidR="00D53312" w:rsidRPr="00476ED4" w:rsidRDefault="00D53312" w:rsidP="007E4324">
            <w:pPr>
              <w:pStyle w:val="DFARS"/>
              <w:jc w:val="center"/>
              <w:rPr>
                <w:szCs w:val="24"/>
              </w:rPr>
            </w:pPr>
            <w:r w:rsidRPr="00476ED4">
              <w:rPr>
                <w:szCs w:val="24"/>
              </w:rPr>
              <w:t>Designated</w:t>
            </w:r>
          </w:p>
        </w:tc>
      </w:tr>
      <w:tr w:rsidR="00D53312" w:rsidRPr="00476ED4" w14:paraId="764D95D1" w14:textId="77777777" w:rsidTr="00D53312">
        <w:tc>
          <w:tcPr>
            <w:tcW w:w="5606" w:type="dxa"/>
            <w:tcBorders>
              <w:top w:val="nil"/>
              <w:bottom w:val="single" w:sz="6" w:space="0" w:color="auto"/>
              <w:right w:val="single" w:sz="6" w:space="0" w:color="auto"/>
            </w:tcBorders>
          </w:tcPr>
          <w:p w14:paraId="57EF08ED" w14:textId="13D12540" w:rsidR="00D53312" w:rsidRPr="00476ED4" w:rsidRDefault="00A5442F" w:rsidP="007E4324">
            <w:pPr>
              <w:pStyle w:val="DFARS"/>
              <w:keepNext/>
              <w:keepLines/>
              <w:jc w:val="center"/>
              <w:rPr>
                <w:szCs w:val="24"/>
              </w:rPr>
            </w:pPr>
            <w:r>
              <w:rPr>
                <w:szCs w:val="24"/>
              </w:rPr>
              <w:t>Contract T</w:t>
            </w:r>
            <w:r w:rsidR="00D53312" w:rsidRPr="00476ED4">
              <w:rPr>
                <w:szCs w:val="24"/>
              </w:rPr>
              <w:t>ype</w:t>
            </w:r>
          </w:p>
        </w:tc>
        <w:tc>
          <w:tcPr>
            <w:tcW w:w="946" w:type="dxa"/>
            <w:tcBorders>
              <w:top w:val="nil"/>
              <w:left w:val="nil"/>
              <w:bottom w:val="single" w:sz="6" w:space="0" w:color="auto"/>
              <w:right w:val="single" w:sz="6" w:space="0" w:color="auto"/>
            </w:tcBorders>
          </w:tcPr>
          <w:p w14:paraId="083662DD" w14:textId="77777777" w:rsidR="00D53312" w:rsidRPr="00476ED4" w:rsidRDefault="00D53312" w:rsidP="007E4324">
            <w:pPr>
              <w:pStyle w:val="DFARS"/>
              <w:jc w:val="center"/>
              <w:rPr>
                <w:szCs w:val="24"/>
              </w:rPr>
            </w:pPr>
            <w:r w:rsidRPr="00476ED4">
              <w:rPr>
                <w:szCs w:val="24"/>
              </w:rPr>
              <w:t>Notes</w:t>
            </w:r>
          </w:p>
        </w:tc>
        <w:tc>
          <w:tcPr>
            <w:tcW w:w="1214" w:type="dxa"/>
            <w:tcBorders>
              <w:top w:val="nil"/>
              <w:left w:val="nil"/>
              <w:bottom w:val="single" w:sz="6" w:space="0" w:color="auto"/>
              <w:right w:val="single" w:sz="6" w:space="0" w:color="auto"/>
            </w:tcBorders>
          </w:tcPr>
          <w:p w14:paraId="297B67F1" w14:textId="77777777" w:rsidR="00D53312" w:rsidRPr="00476ED4" w:rsidRDefault="00D53312" w:rsidP="007E4324">
            <w:pPr>
              <w:pStyle w:val="DFARS"/>
              <w:jc w:val="center"/>
              <w:rPr>
                <w:szCs w:val="24"/>
              </w:rPr>
            </w:pPr>
            <w:r w:rsidRPr="00476ED4">
              <w:rPr>
                <w:szCs w:val="24"/>
              </w:rPr>
              <w:t>Value</w:t>
            </w:r>
          </w:p>
          <w:p w14:paraId="7E4F501B" w14:textId="77777777" w:rsidR="00D53312" w:rsidRPr="00476ED4" w:rsidRDefault="00D53312" w:rsidP="007E4324">
            <w:pPr>
              <w:pStyle w:val="DFARS"/>
              <w:jc w:val="center"/>
              <w:rPr>
                <w:szCs w:val="24"/>
              </w:rPr>
            </w:pPr>
            <w:r w:rsidRPr="00476ED4">
              <w:rPr>
                <w:szCs w:val="24"/>
              </w:rPr>
              <w:t>(percent)</w:t>
            </w:r>
          </w:p>
        </w:tc>
        <w:tc>
          <w:tcPr>
            <w:tcW w:w="1594" w:type="dxa"/>
            <w:tcBorders>
              <w:top w:val="nil"/>
              <w:left w:val="nil"/>
              <w:bottom w:val="single" w:sz="6" w:space="0" w:color="auto"/>
            </w:tcBorders>
          </w:tcPr>
          <w:p w14:paraId="43C1078E" w14:textId="77777777" w:rsidR="00D53312" w:rsidRPr="00476ED4" w:rsidRDefault="00D53312" w:rsidP="007E4324">
            <w:pPr>
              <w:pStyle w:val="DFARS"/>
              <w:jc w:val="center"/>
              <w:rPr>
                <w:szCs w:val="24"/>
              </w:rPr>
            </w:pPr>
            <w:r w:rsidRPr="00476ED4">
              <w:rPr>
                <w:szCs w:val="24"/>
              </w:rPr>
              <w:t>Range</w:t>
            </w:r>
          </w:p>
          <w:p w14:paraId="5F4BB437" w14:textId="77777777" w:rsidR="00D53312" w:rsidRPr="00476ED4" w:rsidRDefault="00D53312" w:rsidP="007E4324">
            <w:pPr>
              <w:pStyle w:val="DFARS"/>
              <w:jc w:val="center"/>
              <w:rPr>
                <w:szCs w:val="24"/>
              </w:rPr>
            </w:pPr>
            <w:r w:rsidRPr="00476ED4">
              <w:rPr>
                <w:szCs w:val="24"/>
              </w:rPr>
              <w:t>(percent)</w:t>
            </w:r>
          </w:p>
        </w:tc>
      </w:tr>
      <w:tr w:rsidR="00D53312" w:rsidRPr="00476ED4" w14:paraId="6AAACF27" w14:textId="77777777" w:rsidTr="00D53312">
        <w:tc>
          <w:tcPr>
            <w:tcW w:w="5606" w:type="dxa"/>
            <w:tcBorders>
              <w:right w:val="single" w:sz="6" w:space="0" w:color="auto"/>
            </w:tcBorders>
          </w:tcPr>
          <w:p w14:paraId="19796C16" w14:textId="77777777" w:rsidR="00D53312" w:rsidRPr="00476ED4" w:rsidRDefault="00D53312" w:rsidP="007E4324">
            <w:pPr>
              <w:pStyle w:val="DFARS"/>
              <w:keepNext/>
              <w:keepLines/>
              <w:rPr>
                <w:szCs w:val="24"/>
              </w:rPr>
            </w:pPr>
            <w:r w:rsidRPr="00476ED4">
              <w:rPr>
                <w:szCs w:val="24"/>
              </w:rPr>
              <w:t>Firm-fixed-price, no financing</w:t>
            </w:r>
          </w:p>
        </w:tc>
        <w:tc>
          <w:tcPr>
            <w:tcW w:w="946" w:type="dxa"/>
            <w:tcBorders>
              <w:left w:val="nil"/>
              <w:right w:val="single" w:sz="6" w:space="0" w:color="auto"/>
            </w:tcBorders>
          </w:tcPr>
          <w:p w14:paraId="623456E4" w14:textId="77777777" w:rsidR="00D53312" w:rsidRPr="00476ED4" w:rsidRDefault="00D53312" w:rsidP="007E4324">
            <w:pPr>
              <w:pStyle w:val="DFARS"/>
              <w:jc w:val="center"/>
              <w:rPr>
                <w:szCs w:val="24"/>
              </w:rPr>
            </w:pPr>
            <w:r w:rsidRPr="00476ED4">
              <w:rPr>
                <w:szCs w:val="24"/>
              </w:rPr>
              <w:t>(1)</w:t>
            </w:r>
          </w:p>
        </w:tc>
        <w:tc>
          <w:tcPr>
            <w:tcW w:w="1214" w:type="dxa"/>
            <w:tcBorders>
              <w:left w:val="nil"/>
              <w:right w:val="single" w:sz="6" w:space="0" w:color="auto"/>
            </w:tcBorders>
          </w:tcPr>
          <w:p w14:paraId="0CF64CF0" w14:textId="6BB58CAF" w:rsidR="00D53312" w:rsidRPr="00476ED4" w:rsidRDefault="00D53312" w:rsidP="00185570">
            <w:pPr>
              <w:pStyle w:val="DFARS"/>
              <w:jc w:val="center"/>
              <w:rPr>
                <w:szCs w:val="24"/>
              </w:rPr>
            </w:pPr>
            <w:r w:rsidRPr="00476ED4">
              <w:rPr>
                <w:szCs w:val="24"/>
              </w:rPr>
              <w:t>5</w:t>
            </w:r>
          </w:p>
        </w:tc>
        <w:tc>
          <w:tcPr>
            <w:tcW w:w="1594" w:type="dxa"/>
            <w:tcBorders>
              <w:left w:val="nil"/>
            </w:tcBorders>
          </w:tcPr>
          <w:p w14:paraId="5FF23A13" w14:textId="77777777" w:rsidR="00D53312" w:rsidRPr="00476ED4" w:rsidRDefault="00D53312" w:rsidP="007E4324">
            <w:pPr>
              <w:pStyle w:val="DFARS"/>
              <w:jc w:val="center"/>
              <w:rPr>
                <w:szCs w:val="24"/>
              </w:rPr>
            </w:pPr>
            <w:r w:rsidRPr="00476ED4">
              <w:rPr>
                <w:szCs w:val="24"/>
              </w:rPr>
              <w:t>4 to 6</w:t>
            </w:r>
            <w:r w:rsidRPr="00D53312">
              <w:rPr>
                <w:strike/>
                <w:szCs w:val="24"/>
              </w:rPr>
              <w:t>.</w:t>
            </w:r>
          </w:p>
        </w:tc>
      </w:tr>
      <w:tr w:rsidR="00D53312" w:rsidRPr="00476ED4" w14:paraId="4C99F4E6" w14:textId="77777777" w:rsidTr="00D53312">
        <w:tc>
          <w:tcPr>
            <w:tcW w:w="5606" w:type="dxa"/>
            <w:tcBorders>
              <w:right w:val="single" w:sz="6" w:space="0" w:color="auto"/>
            </w:tcBorders>
          </w:tcPr>
          <w:p w14:paraId="35DA0CB8" w14:textId="77777777" w:rsidR="00D53312" w:rsidRPr="00476ED4" w:rsidRDefault="00D53312" w:rsidP="007E4324">
            <w:pPr>
              <w:pStyle w:val="DFARS"/>
              <w:keepNext/>
              <w:keepLines/>
              <w:rPr>
                <w:szCs w:val="24"/>
              </w:rPr>
            </w:pPr>
            <w:r w:rsidRPr="00476ED4">
              <w:rPr>
                <w:szCs w:val="24"/>
              </w:rPr>
              <w:t>Firm-fixed-price, with performance-based payments</w:t>
            </w:r>
          </w:p>
        </w:tc>
        <w:tc>
          <w:tcPr>
            <w:tcW w:w="946" w:type="dxa"/>
            <w:tcBorders>
              <w:left w:val="nil"/>
              <w:right w:val="single" w:sz="6" w:space="0" w:color="auto"/>
            </w:tcBorders>
          </w:tcPr>
          <w:p w14:paraId="0926CADC" w14:textId="77777777" w:rsidR="00D53312" w:rsidRPr="00476ED4" w:rsidRDefault="00D53312" w:rsidP="007E4324">
            <w:pPr>
              <w:pStyle w:val="DFARS"/>
              <w:jc w:val="center"/>
              <w:rPr>
                <w:szCs w:val="24"/>
              </w:rPr>
            </w:pPr>
            <w:r w:rsidRPr="00476ED4">
              <w:rPr>
                <w:szCs w:val="24"/>
              </w:rPr>
              <w:t>(6)</w:t>
            </w:r>
          </w:p>
        </w:tc>
        <w:tc>
          <w:tcPr>
            <w:tcW w:w="1214" w:type="dxa"/>
            <w:tcBorders>
              <w:left w:val="nil"/>
              <w:right w:val="single" w:sz="6" w:space="0" w:color="auto"/>
            </w:tcBorders>
          </w:tcPr>
          <w:p w14:paraId="30410F7F" w14:textId="3EADEBBC" w:rsidR="00D53312" w:rsidRPr="00476ED4" w:rsidRDefault="00D53312" w:rsidP="00185570">
            <w:pPr>
              <w:pStyle w:val="DFARS"/>
              <w:jc w:val="center"/>
              <w:rPr>
                <w:szCs w:val="24"/>
              </w:rPr>
            </w:pPr>
            <w:r w:rsidRPr="00476ED4">
              <w:rPr>
                <w:szCs w:val="24"/>
              </w:rPr>
              <w:t>4</w:t>
            </w:r>
          </w:p>
        </w:tc>
        <w:tc>
          <w:tcPr>
            <w:tcW w:w="1594" w:type="dxa"/>
            <w:tcBorders>
              <w:left w:val="nil"/>
            </w:tcBorders>
          </w:tcPr>
          <w:p w14:paraId="4AFC501B" w14:textId="77777777" w:rsidR="00D53312" w:rsidRPr="00476ED4" w:rsidRDefault="00D53312" w:rsidP="007E4324">
            <w:pPr>
              <w:pStyle w:val="DFARS"/>
              <w:jc w:val="center"/>
              <w:rPr>
                <w:szCs w:val="24"/>
              </w:rPr>
            </w:pPr>
            <w:r w:rsidRPr="00476ED4">
              <w:rPr>
                <w:szCs w:val="24"/>
              </w:rPr>
              <w:t>2.5 to 5.5</w:t>
            </w:r>
            <w:r w:rsidRPr="00D53312">
              <w:rPr>
                <w:strike/>
                <w:szCs w:val="24"/>
              </w:rPr>
              <w:t>.</w:t>
            </w:r>
          </w:p>
        </w:tc>
      </w:tr>
      <w:tr w:rsidR="00D53312" w:rsidRPr="00476ED4" w14:paraId="211FAA9F" w14:textId="77777777" w:rsidTr="00D53312">
        <w:tc>
          <w:tcPr>
            <w:tcW w:w="5606" w:type="dxa"/>
            <w:tcBorders>
              <w:right w:val="single" w:sz="6" w:space="0" w:color="auto"/>
            </w:tcBorders>
          </w:tcPr>
          <w:p w14:paraId="4954F445" w14:textId="77777777" w:rsidR="00D53312" w:rsidRPr="00476ED4" w:rsidRDefault="00D53312" w:rsidP="007E4324">
            <w:pPr>
              <w:pStyle w:val="DFARS"/>
              <w:keepNext/>
              <w:keepLines/>
              <w:rPr>
                <w:szCs w:val="24"/>
              </w:rPr>
            </w:pPr>
            <w:r w:rsidRPr="00476ED4">
              <w:rPr>
                <w:szCs w:val="24"/>
              </w:rPr>
              <w:t>Firm-fixed-price, with progress payments</w:t>
            </w:r>
          </w:p>
        </w:tc>
        <w:tc>
          <w:tcPr>
            <w:tcW w:w="946" w:type="dxa"/>
            <w:tcBorders>
              <w:left w:val="nil"/>
              <w:right w:val="single" w:sz="6" w:space="0" w:color="auto"/>
            </w:tcBorders>
          </w:tcPr>
          <w:p w14:paraId="5B2BD74D" w14:textId="77777777" w:rsidR="00D53312" w:rsidRPr="00476ED4" w:rsidRDefault="00D53312" w:rsidP="007E4324">
            <w:pPr>
              <w:pStyle w:val="DFARS"/>
              <w:jc w:val="center"/>
              <w:rPr>
                <w:szCs w:val="24"/>
              </w:rPr>
            </w:pPr>
            <w:r w:rsidRPr="00476ED4">
              <w:rPr>
                <w:szCs w:val="24"/>
              </w:rPr>
              <w:t>(2)</w:t>
            </w:r>
          </w:p>
        </w:tc>
        <w:tc>
          <w:tcPr>
            <w:tcW w:w="1214" w:type="dxa"/>
            <w:tcBorders>
              <w:left w:val="nil"/>
              <w:right w:val="single" w:sz="6" w:space="0" w:color="auto"/>
            </w:tcBorders>
          </w:tcPr>
          <w:p w14:paraId="3BEF95D1" w14:textId="6408B34B" w:rsidR="00D53312" w:rsidRPr="00476ED4" w:rsidRDefault="00D53312" w:rsidP="00185570">
            <w:pPr>
              <w:pStyle w:val="DFARS"/>
              <w:jc w:val="center"/>
              <w:rPr>
                <w:szCs w:val="24"/>
              </w:rPr>
            </w:pPr>
            <w:r w:rsidRPr="00476ED4">
              <w:rPr>
                <w:szCs w:val="24"/>
              </w:rPr>
              <w:t>3</w:t>
            </w:r>
          </w:p>
        </w:tc>
        <w:tc>
          <w:tcPr>
            <w:tcW w:w="1594" w:type="dxa"/>
            <w:tcBorders>
              <w:left w:val="nil"/>
            </w:tcBorders>
          </w:tcPr>
          <w:p w14:paraId="71533B87" w14:textId="77777777" w:rsidR="00D53312" w:rsidRPr="00476ED4" w:rsidRDefault="00D53312" w:rsidP="007E4324">
            <w:pPr>
              <w:pStyle w:val="DFARS"/>
              <w:jc w:val="center"/>
              <w:rPr>
                <w:szCs w:val="24"/>
              </w:rPr>
            </w:pPr>
            <w:r w:rsidRPr="00476ED4">
              <w:rPr>
                <w:szCs w:val="24"/>
              </w:rPr>
              <w:t>2 to 4</w:t>
            </w:r>
            <w:r w:rsidRPr="00D53312">
              <w:rPr>
                <w:strike/>
                <w:szCs w:val="24"/>
              </w:rPr>
              <w:t>.</w:t>
            </w:r>
          </w:p>
        </w:tc>
      </w:tr>
      <w:tr w:rsidR="00D53312" w:rsidRPr="00476ED4" w14:paraId="688423DC" w14:textId="77777777" w:rsidTr="00D53312">
        <w:tc>
          <w:tcPr>
            <w:tcW w:w="5606" w:type="dxa"/>
            <w:tcBorders>
              <w:right w:val="single" w:sz="6" w:space="0" w:color="auto"/>
            </w:tcBorders>
          </w:tcPr>
          <w:p w14:paraId="56E163E9" w14:textId="77777777" w:rsidR="00D53312" w:rsidRPr="00476ED4" w:rsidRDefault="00D53312" w:rsidP="007E4324">
            <w:pPr>
              <w:pStyle w:val="DFARS"/>
              <w:keepNext/>
              <w:keepLines/>
              <w:rPr>
                <w:szCs w:val="24"/>
              </w:rPr>
            </w:pPr>
          </w:p>
        </w:tc>
        <w:tc>
          <w:tcPr>
            <w:tcW w:w="946" w:type="dxa"/>
            <w:tcBorders>
              <w:left w:val="nil"/>
              <w:right w:val="single" w:sz="6" w:space="0" w:color="auto"/>
            </w:tcBorders>
          </w:tcPr>
          <w:p w14:paraId="1FC2CCCB" w14:textId="77777777" w:rsidR="00D53312" w:rsidRPr="00476ED4" w:rsidRDefault="00D53312" w:rsidP="007E4324">
            <w:pPr>
              <w:pStyle w:val="DFARS"/>
              <w:jc w:val="center"/>
              <w:rPr>
                <w:szCs w:val="24"/>
              </w:rPr>
            </w:pPr>
          </w:p>
        </w:tc>
        <w:tc>
          <w:tcPr>
            <w:tcW w:w="1214" w:type="dxa"/>
            <w:tcBorders>
              <w:left w:val="nil"/>
              <w:right w:val="single" w:sz="6" w:space="0" w:color="auto"/>
            </w:tcBorders>
          </w:tcPr>
          <w:p w14:paraId="0F3757D9" w14:textId="77777777" w:rsidR="00D53312" w:rsidRPr="00476ED4" w:rsidRDefault="00D53312" w:rsidP="007E4324">
            <w:pPr>
              <w:pStyle w:val="DFARS"/>
              <w:jc w:val="center"/>
              <w:rPr>
                <w:szCs w:val="24"/>
              </w:rPr>
            </w:pPr>
          </w:p>
        </w:tc>
        <w:tc>
          <w:tcPr>
            <w:tcW w:w="1594" w:type="dxa"/>
            <w:tcBorders>
              <w:left w:val="nil"/>
            </w:tcBorders>
          </w:tcPr>
          <w:p w14:paraId="5931D9FA" w14:textId="77777777" w:rsidR="00D53312" w:rsidRPr="00476ED4" w:rsidRDefault="00D53312" w:rsidP="007E4324">
            <w:pPr>
              <w:pStyle w:val="DFARS"/>
              <w:jc w:val="center"/>
              <w:rPr>
                <w:szCs w:val="24"/>
              </w:rPr>
            </w:pPr>
          </w:p>
        </w:tc>
      </w:tr>
      <w:tr w:rsidR="00D53312" w:rsidRPr="00476ED4" w14:paraId="63A2A8B5" w14:textId="77777777" w:rsidTr="00D53312">
        <w:tc>
          <w:tcPr>
            <w:tcW w:w="5606" w:type="dxa"/>
            <w:tcBorders>
              <w:right w:val="single" w:sz="6" w:space="0" w:color="auto"/>
            </w:tcBorders>
          </w:tcPr>
          <w:p w14:paraId="3060992C" w14:textId="77777777" w:rsidR="00D53312" w:rsidRPr="00476ED4" w:rsidRDefault="00D53312" w:rsidP="007E4324">
            <w:pPr>
              <w:pStyle w:val="DFARS"/>
              <w:keepNext/>
              <w:keepLines/>
              <w:rPr>
                <w:szCs w:val="24"/>
              </w:rPr>
            </w:pPr>
            <w:r w:rsidRPr="00476ED4">
              <w:rPr>
                <w:szCs w:val="24"/>
              </w:rPr>
              <w:t>Fixed-price incentive, no financing</w:t>
            </w:r>
          </w:p>
        </w:tc>
        <w:tc>
          <w:tcPr>
            <w:tcW w:w="946" w:type="dxa"/>
            <w:tcBorders>
              <w:left w:val="nil"/>
              <w:right w:val="single" w:sz="6" w:space="0" w:color="auto"/>
            </w:tcBorders>
          </w:tcPr>
          <w:p w14:paraId="04E0F631" w14:textId="77777777" w:rsidR="00D53312" w:rsidRPr="00476ED4" w:rsidRDefault="00D53312" w:rsidP="007E4324">
            <w:pPr>
              <w:pStyle w:val="DFARS"/>
              <w:jc w:val="center"/>
              <w:rPr>
                <w:szCs w:val="24"/>
              </w:rPr>
            </w:pPr>
            <w:r w:rsidRPr="00476ED4">
              <w:rPr>
                <w:szCs w:val="24"/>
              </w:rPr>
              <w:t>(1)</w:t>
            </w:r>
          </w:p>
        </w:tc>
        <w:tc>
          <w:tcPr>
            <w:tcW w:w="1214" w:type="dxa"/>
            <w:tcBorders>
              <w:left w:val="nil"/>
              <w:right w:val="single" w:sz="6" w:space="0" w:color="auto"/>
            </w:tcBorders>
          </w:tcPr>
          <w:p w14:paraId="45517B09" w14:textId="5112BCFB" w:rsidR="00D53312" w:rsidRPr="00476ED4" w:rsidRDefault="00D53312" w:rsidP="007E4324">
            <w:pPr>
              <w:pStyle w:val="DFARS"/>
              <w:jc w:val="center"/>
              <w:rPr>
                <w:szCs w:val="24"/>
              </w:rPr>
            </w:pPr>
            <w:r w:rsidRPr="00476ED4">
              <w:rPr>
                <w:szCs w:val="24"/>
              </w:rPr>
              <w:t>3</w:t>
            </w:r>
          </w:p>
        </w:tc>
        <w:tc>
          <w:tcPr>
            <w:tcW w:w="1594" w:type="dxa"/>
            <w:tcBorders>
              <w:left w:val="nil"/>
            </w:tcBorders>
          </w:tcPr>
          <w:p w14:paraId="61E9DBD0" w14:textId="77777777" w:rsidR="00D53312" w:rsidRPr="00476ED4" w:rsidRDefault="00D53312" w:rsidP="007E4324">
            <w:pPr>
              <w:pStyle w:val="DFARS"/>
              <w:jc w:val="center"/>
              <w:rPr>
                <w:szCs w:val="24"/>
              </w:rPr>
            </w:pPr>
            <w:r w:rsidRPr="00476ED4">
              <w:rPr>
                <w:szCs w:val="24"/>
              </w:rPr>
              <w:t>2 to 4</w:t>
            </w:r>
            <w:r w:rsidRPr="00D53312">
              <w:rPr>
                <w:strike/>
                <w:szCs w:val="24"/>
              </w:rPr>
              <w:t>.</w:t>
            </w:r>
          </w:p>
        </w:tc>
      </w:tr>
      <w:tr w:rsidR="00D53312" w:rsidRPr="00476ED4" w14:paraId="291DD028" w14:textId="77777777" w:rsidTr="00D53312">
        <w:tc>
          <w:tcPr>
            <w:tcW w:w="5606" w:type="dxa"/>
            <w:tcBorders>
              <w:right w:val="single" w:sz="6" w:space="0" w:color="auto"/>
            </w:tcBorders>
          </w:tcPr>
          <w:p w14:paraId="722F020A" w14:textId="77777777" w:rsidR="00D53312" w:rsidRPr="00476ED4" w:rsidRDefault="00D53312" w:rsidP="007E4324">
            <w:pPr>
              <w:pStyle w:val="DFARS"/>
              <w:keepNext/>
              <w:keepLines/>
              <w:rPr>
                <w:szCs w:val="24"/>
              </w:rPr>
            </w:pPr>
            <w:r w:rsidRPr="00476ED4">
              <w:rPr>
                <w:szCs w:val="24"/>
              </w:rPr>
              <w:t>Fixed-price incentive, with performance-based payments</w:t>
            </w:r>
          </w:p>
        </w:tc>
        <w:tc>
          <w:tcPr>
            <w:tcW w:w="946" w:type="dxa"/>
            <w:tcBorders>
              <w:left w:val="nil"/>
              <w:right w:val="single" w:sz="6" w:space="0" w:color="auto"/>
            </w:tcBorders>
          </w:tcPr>
          <w:p w14:paraId="106E351E" w14:textId="77777777" w:rsidR="00D53312" w:rsidRPr="00476ED4" w:rsidRDefault="00D53312" w:rsidP="007E4324">
            <w:pPr>
              <w:pStyle w:val="DFARS"/>
              <w:jc w:val="center"/>
              <w:rPr>
                <w:szCs w:val="24"/>
              </w:rPr>
            </w:pPr>
            <w:r w:rsidRPr="00476ED4">
              <w:rPr>
                <w:szCs w:val="24"/>
              </w:rPr>
              <w:t>(6)</w:t>
            </w:r>
          </w:p>
        </w:tc>
        <w:tc>
          <w:tcPr>
            <w:tcW w:w="1214" w:type="dxa"/>
            <w:tcBorders>
              <w:left w:val="nil"/>
              <w:right w:val="single" w:sz="6" w:space="0" w:color="auto"/>
            </w:tcBorders>
          </w:tcPr>
          <w:p w14:paraId="6EF8808F" w14:textId="0AEDF26A" w:rsidR="00D53312" w:rsidRPr="00476ED4" w:rsidRDefault="00D53312" w:rsidP="00185570">
            <w:pPr>
              <w:pStyle w:val="DFARS"/>
              <w:jc w:val="center"/>
              <w:rPr>
                <w:szCs w:val="24"/>
              </w:rPr>
            </w:pPr>
            <w:r w:rsidRPr="00476ED4">
              <w:rPr>
                <w:szCs w:val="24"/>
              </w:rPr>
              <w:t>2</w:t>
            </w:r>
          </w:p>
        </w:tc>
        <w:tc>
          <w:tcPr>
            <w:tcW w:w="1594" w:type="dxa"/>
            <w:tcBorders>
              <w:left w:val="nil"/>
            </w:tcBorders>
          </w:tcPr>
          <w:p w14:paraId="4E68E4C9" w14:textId="77777777" w:rsidR="00D53312" w:rsidRPr="00476ED4" w:rsidRDefault="00D53312" w:rsidP="007E4324">
            <w:pPr>
              <w:pStyle w:val="DFARS"/>
              <w:jc w:val="center"/>
              <w:rPr>
                <w:szCs w:val="24"/>
              </w:rPr>
            </w:pPr>
            <w:r w:rsidRPr="00476ED4">
              <w:rPr>
                <w:szCs w:val="24"/>
              </w:rPr>
              <w:t>0.5 to 3.5</w:t>
            </w:r>
            <w:r w:rsidRPr="00D53312">
              <w:rPr>
                <w:strike/>
                <w:szCs w:val="24"/>
              </w:rPr>
              <w:t>.</w:t>
            </w:r>
          </w:p>
        </w:tc>
      </w:tr>
      <w:tr w:rsidR="00D53312" w:rsidRPr="00476ED4" w14:paraId="49C61673" w14:textId="77777777" w:rsidTr="00D53312">
        <w:tc>
          <w:tcPr>
            <w:tcW w:w="5606" w:type="dxa"/>
            <w:tcBorders>
              <w:right w:val="single" w:sz="6" w:space="0" w:color="auto"/>
            </w:tcBorders>
          </w:tcPr>
          <w:p w14:paraId="77C75FE6" w14:textId="77777777" w:rsidR="00D53312" w:rsidRPr="00476ED4" w:rsidRDefault="00D53312" w:rsidP="007E4324">
            <w:pPr>
              <w:pStyle w:val="DFARS"/>
              <w:keepNext/>
              <w:keepLines/>
              <w:rPr>
                <w:szCs w:val="24"/>
              </w:rPr>
            </w:pPr>
            <w:r w:rsidRPr="00476ED4">
              <w:rPr>
                <w:szCs w:val="24"/>
              </w:rPr>
              <w:t>Fixed-price with redetermination provision</w:t>
            </w:r>
          </w:p>
        </w:tc>
        <w:tc>
          <w:tcPr>
            <w:tcW w:w="946" w:type="dxa"/>
            <w:tcBorders>
              <w:left w:val="nil"/>
              <w:right w:val="single" w:sz="6" w:space="0" w:color="auto"/>
            </w:tcBorders>
          </w:tcPr>
          <w:p w14:paraId="36B704CC" w14:textId="77777777" w:rsidR="00D53312" w:rsidRPr="00476ED4" w:rsidRDefault="00D53312" w:rsidP="007E4324">
            <w:pPr>
              <w:pStyle w:val="DFARS"/>
              <w:jc w:val="center"/>
              <w:rPr>
                <w:szCs w:val="24"/>
              </w:rPr>
            </w:pPr>
            <w:r w:rsidRPr="00476ED4">
              <w:rPr>
                <w:szCs w:val="24"/>
              </w:rPr>
              <w:t>(3)</w:t>
            </w:r>
          </w:p>
        </w:tc>
        <w:tc>
          <w:tcPr>
            <w:tcW w:w="1214" w:type="dxa"/>
            <w:tcBorders>
              <w:left w:val="nil"/>
              <w:right w:val="single" w:sz="6" w:space="0" w:color="auto"/>
            </w:tcBorders>
          </w:tcPr>
          <w:p w14:paraId="263FE4E5" w14:textId="77777777" w:rsidR="00D53312" w:rsidRPr="00476ED4" w:rsidRDefault="00D53312" w:rsidP="007E4324">
            <w:pPr>
              <w:pStyle w:val="DFARS"/>
              <w:jc w:val="center"/>
              <w:rPr>
                <w:szCs w:val="24"/>
              </w:rPr>
            </w:pPr>
          </w:p>
        </w:tc>
        <w:tc>
          <w:tcPr>
            <w:tcW w:w="1594" w:type="dxa"/>
            <w:tcBorders>
              <w:left w:val="nil"/>
            </w:tcBorders>
          </w:tcPr>
          <w:p w14:paraId="7C3CF669" w14:textId="77777777" w:rsidR="00D53312" w:rsidRPr="00476ED4" w:rsidRDefault="00D53312" w:rsidP="007E4324">
            <w:pPr>
              <w:pStyle w:val="DFARS"/>
              <w:jc w:val="center"/>
              <w:rPr>
                <w:szCs w:val="24"/>
              </w:rPr>
            </w:pPr>
          </w:p>
        </w:tc>
      </w:tr>
      <w:tr w:rsidR="00D53312" w:rsidRPr="00476ED4" w14:paraId="78750CA2" w14:textId="77777777" w:rsidTr="00D53312">
        <w:tc>
          <w:tcPr>
            <w:tcW w:w="5606" w:type="dxa"/>
            <w:tcBorders>
              <w:right w:val="single" w:sz="6" w:space="0" w:color="auto"/>
            </w:tcBorders>
          </w:tcPr>
          <w:p w14:paraId="4F5820CE" w14:textId="77777777" w:rsidR="00D53312" w:rsidRPr="00476ED4" w:rsidRDefault="00D53312" w:rsidP="007E4324">
            <w:pPr>
              <w:pStyle w:val="DFARS"/>
              <w:keepNext/>
              <w:keepLines/>
              <w:rPr>
                <w:szCs w:val="24"/>
              </w:rPr>
            </w:pPr>
            <w:r w:rsidRPr="00476ED4">
              <w:rPr>
                <w:szCs w:val="24"/>
              </w:rPr>
              <w:t>Fixed-price incentive, with progress payments</w:t>
            </w:r>
          </w:p>
        </w:tc>
        <w:tc>
          <w:tcPr>
            <w:tcW w:w="946" w:type="dxa"/>
            <w:tcBorders>
              <w:left w:val="nil"/>
              <w:right w:val="single" w:sz="6" w:space="0" w:color="auto"/>
            </w:tcBorders>
          </w:tcPr>
          <w:p w14:paraId="02EF4F50" w14:textId="77777777" w:rsidR="00D53312" w:rsidRPr="00476ED4" w:rsidRDefault="00D53312" w:rsidP="007E4324">
            <w:pPr>
              <w:pStyle w:val="DFARS"/>
              <w:jc w:val="center"/>
              <w:rPr>
                <w:szCs w:val="24"/>
              </w:rPr>
            </w:pPr>
            <w:r w:rsidRPr="00476ED4">
              <w:rPr>
                <w:szCs w:val="24"/>
              </w:rPr>
              <w:t>(2)</w:t>
            </w:r>
          </w:p>
        </w:tc>
        <w:tc>
          <w:tcPr>
            <w:tcW w:w="1214" w:type="dxa"/>
            <w:tcBorders>
              <w:left w:val="nil"/>
              <w:right w:val="single" w:sz="6" w:space="0" w:color="auto"/>
            </w:tcBorders>
          </w:tcPr>
          <w:p w14:paraId="31C266B0" w14:textId="122FF296" w:rsidR="00D53312" w:rsidRPr="00476ED4" w:rsidRDefault="00D53312" w:rsidP="00185570">
            <w:pPr>
              <w:pStyle w:val="DFARS"/>
              <w:jc w:val="center"/>
              <w:rPr>
                <w:szCs w:val="24"/>
              </w:rPr>
            </w:pPr>
            <w:r w:rsidRPr="00476ED4">
              <w:rPr>
                <w:szCs w:val="24"/>
              </w:rPr>
              <w:t>1</w:t>
            </w:r>
          </w:p>
        </w:tc>
        <w:tc>
          <w:tcPr>
            <w:tcW w:w="1594" w:type="dxa"/>
            <w:tcBorders>
              <w:left w:val="nil"/>
            </w:tcBorders>
          </w:tcPr>
          <w:p w14:paraId="09EA3161" w14:textId="77777777" w:rsidR="00D53312" w:rsidRPr="00476ED4" w:rsidRDefault="00D53312" w:rsidP="007E4324">
            <w:pPr>
              <w:pStyle w:val="DFARS"/>
              <w:jc w:val="center"/>
              <w:rPr>
                <w:szCs w:val="24"/>
              </w:rPr>
            </w:pPr>
            <w:r w:rsidRPr="00476ED4">
              <w:rPr>
                <w:szCs w:val="24"/>
              </w:rPr>
              <w:t>0 to 2</w:t>
            </w:r>
            <w:r w:rsidRPr="00D53312">
              <w:rPr>
                <w:strike/>
                <w:szCs w:val="24"/>
              </w:rPr>
              <w:t>.</w:t>
            </w:r>
          </w:p>
        </w:tc>
      </w:tr>
      <w:tr w:rsidR="00D53312" w:rsidRPr="00476ED4" w14:paraId="711AD8F9" w14:textId="77777777" w:rsidTr="00D53312">
        <w:trPr>
          <w:trHeight w:val="353"/>
        </w:trPr>
        <w:tc>
          <w:tcPr>
            <w:tcW w:w="5606" w:type="dxa"/>
            <w:tcBorders>
              <w:right w:val="single" w:sz="6" w:space="0" w:color="auto"/>
            </w:tcBorders>
          </w:tcPr>
          <w:p w14:paraId="3D729E1C" w14:textId="77777777" w:rsidR="00D53312" w:rsidRPr="00476ED4" w:rsidRDefault="00D53312" w:rsidP="007E4324">
            <w:pPr>
              <w:pStyle w:val="DFARS"/>
              <w:keepNext/>
              <w:keepLines/>
              <w:rPr>
                <w:szCs w:val="24"/>
              </w:rPr>
            </w:pPr>
          </w:p>
        </w:tc>
        <w:tc>
          <w:tcPr>
            <w:tcW w:w="946" w:type="dxa"/>
            <w:tcBorders>
              <w:left w:val="nil"/>
              <w:right w:val="single" w:sz="6" w:space="0" w:color="auto"/>
            </w:tcBorders>
          </w:tcPr>
          <w:p w14:paraId="71286A5E" w14:textId="77777777" w:rsidR="00D53312" w:rsidRPr="00476ED4" w:rsidRDefault="00D53312" w:rsidP="007E4324">
            <w:pPr>
              <w:pStyle w:val="DFARS"/>
              <w:jc w:val="center"/>
              <w:rPr>
                <w:szCs w:val="24"/>
              </w:rPr>
            </w:pPr>
          </w:p>
        </w:tc>
        <w:tc>
          <w:tcPr>
            <w:tcW w:w="1214" w:type="dxa"/>
            <w:tcBorders>
              <w:left w:val="nil"/>
              <w:bottom w:val="nil"/>
              <w:right w:val="single" w:sz="6" w:space="0" w:color="auto"/>
            </w:tcBorders>
          </w:tcPr>
          <w:p w14:paraId="36857BF4" w14:textId="77777777" w:rsidR="00D53312" w:rsidRPr="00476ED4" w:rsidRDefault="00D53312" w:rsidP="007E4324">
            <w:pPr>
              <w:pStyle w:val="DFARS"/>
              <w:jc w:val="center"/>
              <w:rPr>
                <w:szCs w:val="24"/>
              </w:rPr>
            </w:pPr>
          </w:p>
        </w:tc>
        <w:tc>
          <w:tcPr>
            <w:tcW w:w="1594" w:type="dxa"/>
            <w:tcBorders>
              <w:left w:val="nil"/>
            </w:tcBorders>
          </w:tcPr>
          <w:p w14:paraId="39F11762" w14:textId="77777777" w:rsidR="00D53312" w:rsidRPr="00476ED4" w:rsidRDefault="00D53312" w:rsidP="007E4324">
            <w:pPr>
              <w:pStyle w:val="DFARS"/>
              <w:jc w:val="center"/>
              <w:rPr>
                <w:szCs w:val="24"/>
              </w:rPr>
            </w:pPr>
          </w:p>
        </w:tc>
      </w:tr>
      <w:tr w:rsidR="00D53312" w:rsidRPr="00476ED4" w14:paraId="0700C124" w14:textId="77777777" w:rsidTr="00D53312">
        <w:tc>
          <w:tcPr>
            <w:tcW w:w="5606" w:type="dxa"/>
            <w:tcBorders>
              <w:right w:val="single" w:sz="6" w:space="0" w:color="auto"/>
            </w:tcBorders>
          </w:tcPr>
          <w:p w14:paraId="2E02C883" w14:textId="3EF23F71" w:rsidR="00D53312" w:rsidRPr="000843E2" w:rsidRDefault="00D53312" w:rsidP="000843E2">
            <w:pPr>
              <w:pStyle w:val="DFARS"/>
              <w:keepNext/>
              <w:keepLines/>
              <w:rPr>
                <w:b/>
                <w:szCs w:val="24"/>
              </w:rPr>
            </w:pPr>
            <w:r w:rsidRPr="00476ED4">
              <w:rPr>
                <w:szCs w:val="24"/>
              </w:rPr>
              <w:t>Cost-plus-incentive-</w:t>
            </w:r>
            <w:r w:rsidR="000843E2">
              <w:rPr>
                <w:b/>
                <w:szCs w:val="24"/>
              </w:rPr>
              <w:t>[fee]</w:t>
            </w:r>
            <w:r w:rsidRPr="000843E2">
              <w:rPr>
                <w:strike/>
                <w:szCs w:val="24"/>
              </w:rPr>
              <w:t>free</w:t>
            </w:r>
          </w:p>
        </w:tc>
        <w:tc>
          <w:tcPr>
            <w:tcW w:w="946" w:type="dxa"/>
            <w:tcBorders>
              <w:left w:val="nil"/>
              <w:right w:val="single" w:sz="6" w:space="0" w:color="auto"/>
            </w:tcBorders>
          </w:tcPr>
          <w:p w14:paraId="3BD30D67" w14:textId="77777777" w:rsidR="00D53312" w:rsidRPr="00476ED4" w:rsidRDefault="00D53312" w:rsidP="007E4324">
            <w:pPr>
              <w:pStyle w:val="DFARS"/>
              <w:jc w:val="center"/>
              <w:rPr>
                <w:szCs w:val="24"/>
              </w:rPr>
            </w:pPr>
            <w:r w:rsidRPr="00476ED4">
              <w:rPr>
                <w:szCs w:val="24"/>
              </w:rPr>
              <w:t>(4)</w:t>
            </w:r>
          </w:p>
        </w:tc>
        <w:tc>
          <w:tcPr>
            <w:tcW w:w="1214" w:type="dxa"/>
            <w:tcBorders>
              <w:left w:val="nil"/>
              <w:bottom w:val="nil"/>
              <w:right w:val="single" w:sz="6" w:space="0" w:color="auto"/>
            </w:tcBorders>
          </w:tcPr>
          <w:p w14:paraId="2AB5EAA8" w14:textId="21E5889F" w:rsidR="00D53312" w:rsidRPr="00476ED4" w:rsidRDefault="00D53312" w:rsidP="00185570">
            <w:pPr>
              <w:pStyle w:val="DFARS"/>
              <w:jc w:val="center"/>
              <w:rPr>
                <w:szCs w:val="24"/>
              </w:rPr>
            </w:pPr>
            <w:r w:rsidRPr="00476ED4">
              <w:rPr>
                <w:szCs w:val="24"/>
              </w:rPr>
              <w:t>1</w:t>
            </w:r>
          </w:p>
        </w:tc>
        <w:tc>
          <w:tcPr>
            <w:tcW w:w="1594" w:type="dxa"/>
            <w:tcBorders>
              <w:left w:val="nil"/>
            </w:tcBorders>
          </w:tcPr>
          <w:p w14:paraId="1FF7F863" w14:textId="77777777" w:rsidR="00D53312" w:rsidRPr="00476ED4" w:rsidRDefault="00D53312" w:rsidP="007E4324">
            <w:pPr>
              <w:pStyle w:val="DFARS"/>
              <w:jc w:val="center"/>
              <w:rPr>
                <w:szCs w:val="24"/>
              </w:rPr>
            </w:pPr>
            <w:r w:rsidRPr="00476ED4">
              <w:rPr>
                <w:szCs w:val="24"/>
              </w:rPr>
              <w:t>0 to 2</w:t>
            </w:r>
            <w:r w:rsidRPr="00D53312">
              <w:rPr>
                <w:strike/>
                <w:szCs w:val="24"/>
              </w:rPr>
              <w:t>.</w:t>
            </w:r>
          </w:p>
        </w:tc>
      </w:tr>
      <w:tr w:rsidR="00FC26F8" w:rsidRPr="00476ED4" w14:paraId="77360525" w14:textId="77777777" w:rsidTr="0041018C">
        <w:tc>
          <w:tcPr>
            <w:tcW w:w="5606" w:type="dxa"/>
            <w:tcBorders>
              <w:top w:val="nil"/>
              <w:bottom w:val="nil"/>
              <w:right w:val="single" w:sz="6" w:space="0" w:color="auto"/>
            </w:tcBorders>
          </w:tcPr>
          <w:p w14:paraId="42FE2705" w14:textId="77777777" w:rsidR="00FC26F8" w:rsidRPr="00476ED4" w:rsidRDefault="00FC26F8" w:rsidP="007E4324">
            <w:pPr>
              <w:pStyle w:val="DFARS"/>
              <w:keepNext/>
              <w:keepLines/>
              <w:rPr>
                <w:szCs w:val="24"/>
              </w:rPr>
            </w:pPr>
            <w:r w:rsidRPr="00476ED4">
              <w:rPr>
                <w:szCs w:val="24"/>
              </w:rPr>
              <w:t>Cost-plus-fixed-fee</w:t>
            </w:r>
          </w:p>
        </w:tc>
        <w:tc>
          <w:tcPr>
            <w:tcW w:w="946" w:type="dxa"/>
            <w:tcBorders>
              <w:top w:val="nil"/>
              <w:left w:val="nil"/>
              <w:bottom w:val="nil"/>
              <w:right w:val="single" w:sz="6" w:space="0" w:color="auto"/>
            </w:tcBorders>
          </w:tcPr>
          <w:p w14:paraId="2B2BB359" w14:textId="77777777" w:rsidR="00FC26F8" w:rsidRPr="00476ED4" w:rsidRDefault="00FC26F8" w:rsidP="007E4324">
            <w:pPr>
              <w:pStyle w:val="DFARS"/>
              <w:jc w:val="center"/>
              <w:rPr>
                <w:szCs w:val="24"/>
              </w:rPr>
            </w:pPr>
            <w:r w:rsidRPr="00476ED4">
              <w:rPr>
                <w:szCs w:val="24"/>
              </w:rPr>
              <w:t>(4)</w:t>
            </w:r>
          </w:p>
        </w:tc>
        <w:tc>
          <w:tcPr>
            <w:tcW w:w="1214" w:type="dxa"/>
            <w:tcBorders>
              <w:top w:val="nil"/>
              <w:left w:val="nil"/>
              <w:bottom w:val="nil"/>
              <w:right w:val="single" w:sz="6" w:space="0" w:color="auto"/>
            </w:tcBorders>
          </w:tcPr>
          <w:p w14:paraId="5C46F40A" w14:textId="59D63AC1" w:rsidR="00FC26F8" w:rsidRPr="00476ED4" w:rsidRDefault="00FC26F8" w:rsidP="007E4324">
            <w:pPr>
              <w:pStyle w:val="DFARS"/>
              <w:jc w:val="center"/>
              <w:rPr>
                <w:szCs w:val="24"/>
              </w:rPr>
            </w:pPr>
            <w:r>
              <w:rPr>
                <w:szCs w:val="24"/>
              </w:rPr>
              <w:t>0</w:t>
            </w:r>
            <w:r w:rsidRPr="00476ED4">
              <w:rPr>
                <w:szCs w:val="24"/>
              </w:rPr>
              <w:t>.5</w:t>
            </w:r>
          </w:p>
        </w:tc>
        <w:tc>
          <w:tcPr>
            <w:tcW w:w="1594" w:type="dxa"/>
            <w:tcBorders>
              <w:top w:val="nil"/>
              <w:left w:val="nil"/>
              <w:bottom w:val="nil"/>
            </w:tcBorders>
          </w:tcPr>
          <w:p w14:paraId="290D1D9E" w14:textId="77777777" w:rsidR="00FC26F8" w:rsidRPr="00476ED4" w:rsidRDefault="00FC26F8" w:rsidP="007E4324">
            <w:pPr>
              <w:pStyle w:val="DFARS"/>
              <w:jc w:val="center"/>
              <w:rPr>
                <w:b/>
                <w:szCs w:val="24"/>
              </w:rPr>
            </w:pPr>
            <w:r w:rsidRPr="00476ED4">
              <w:rPr>
                <w:szCs w:val="24"/>
              </w:rPr>
              <w:t>0 to 1</w:t>
            </w:r>
            <w:r w:rsidRPr="00D53312">
              <w:rPr>
                <w:strike/>
                <w:szCs w:val="24"/>
              </w:rPr>
              <w:t>.</w:t>
            </w:r>
          </w:p>
        </w:tc>
      </w:tr>
      <w:tr w:rsidR="00FC26F8" w:rsidRPr="00476ED4" w14:paraId="663FB9F8" w14:textId="77777777" w:rsidTr="006826B9">
        <w:tc>
          <w:tcPr>
            <w:tcW w:w="5606" w:type="dxa"/>
            <w:tcBorders>
              <w:top w:val="nil"/>
              <w:bottom w:val="nil"/>
              <w:right w:val="single" w:sz="6" w:space="0" w:color="auto"/>
            </w:tcBorders>
          </w:tcPr>
          <w:p w14:paraId="6E7058F8" w14:textId="77777777" w:rsidR="00FC26F8" w:rsidRPr="00476ED4" w:rsidRDefault="00FC26F8" w:rsidP="007E4324">
            <w:pPr>
              <w:pStyle w:val="DFARS"/>
              <w:keepNext/>
              <w:keepLines/>
              <w:rPr>
                <w:szCs w:val="24"/>
              </w:rPr>
            </w:pPr>
            <w:r w:rsidRPr="00476ED4">
              <w:rPr>
                <w:noProof/>
                <w:szCs w:val="24"/>
              </w:rPr>
              <mc:AlternateContent>
                <mc:Choice Requires="wps">
                  <w:drawing>
                    <wp:anchor distT="0" distB="0" distL="114300" distR="114300" simplePos="0" relativeHeight="251661312" behindDoc="0" locked="0" layoutInCell="0" allowOverlap="1" wp14:anchorId="62AEE178" wp14:editId="6A0CA8FC">
                      <wp:simplePos x="0" y="0"/>
                      <wp:positionH relativeFrom="column">
                        <wp:posOffset>6400800</wp:posOffset>
                      </wp:positionH>
                      <wp:positionV relativeFrom="paragraph">
                        <wp:posOffset>435610</wp:posOffset>
                      </wp:positionV>
                      <wp:extent cx="0" cy="0"/>
                      <wp:effectExtent l="0" t="0" r="0" b="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3CA4E"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34.3pt" to="7in,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" o:allowincell="f" strokecolor="blue"/>
                  </w:pict>
                </mc:Fallback>
              </mc:AlternateContent>
            </w:r>
            <w:r w:rsidRPr="00476ED4">
              <w:rPr>
                <w:szCs w:val="24"/>
              </w:rPr>
              <w:t>Time-and-materials (including overhaul contracts priced on time-and-materials basis)</w:t>
            </w:r>
          </w:p>
        </w:tc>
        <w:tc>
          <w:tcPr>
            <w:tcW w:w="946" w:type="dxa"/>
            <w:tcBorders>
              <w:top w:val="nil"/>
              <w:left w:val="nil"/>
              <w:bottom w:val="nil"/>
              <w:right w:val="single" w:sz="6" w:space="0" w:color="auto"/>
            </w:tcBorders>
          </w:tcPr>
          <w:p w14:paraId="67121E19" w14:textId="77777777" w:rsidR="00FC26F8" w:rsidRPr="00476ED4" w:rsidRDefault="00FC26F8" w:rsidP="007E4324">
            <w:pPr>
              <w:pStyle w:val="DFARS"/>
              <w:jc w:val="center"/>
              <w:rPr>
                <w:szCs w:val="24"/>
              </w:rPr>
            </w:pPr>
            <w:r w:rsidRPr="00476ED4">
              <w:rPr>
                <w:szCs w:val="24"/>
              </w:rPr>
              <w:t>(5)</w:t>
            </w:r>
          </w:p>
        </w:tc>
        <w:tc>
          <w:tcPr>
            <w:tcW w:w="1214" w:type="dxa"/>
            <w:tcBorders>
              <w:top w:val="nil"/>
              <w:left w:val="nil"/>
              <w:bottom w:val="nil"/>
              <w:right w:val="single" w:sz="6" w:space="0" w:color="auto"/>
            </w:tcBorders>
          </w:tcPr>
          <w:p w14:paraId="0E8C25A0" w14:textId="5E567988" w:rsidR="00FC26F8" w:rsidRPr="00476ED4" w:rsidRDefault="00FC26F8" w:rsidP="007E4324">
            <w:pPr>
              <w:pStyle w:val="DFARS"/>
              <w:jc w:val="center"/>
              <w:rPr>
                <w:szCs w:val="24"/>
              </w:rPr>
            </w:pPr>
            <w:r>
              <w:rPr>
                <w:szCs w:val="24"/>
              </w:rPr>
              <w:t>0</w:t>
            </w:r>
            <w:r w:rsidRPr="00476ED4">
              <w:rPr>
                <w:szCs w:val="24"/>
              </w:rPr>
              <w:t>.5</w:t>
            </w:r>
          </w:p>
        </w:tc>
        <w:tc>
          <w:tcPr>
            <w:tcW w:w="1594" w:type="dxa"/>
            <w:tcBorders>
              <w:top w:val="nil"/>
              <w:left w:val="nil"/>
              <w:bottom w:val="nil"/>
            </w:tcBorders>
          </w:tcPr>
          <w:p w14:paraId="318C1649" w14:textId="77777777" w:rsidR="00FC26F8" w:rsidRPr="00476ED4" w:rsidRDefault="00FC26F8" w:rsidP="007E4324">
            <w:pPr>
              <w:pStyle w:val="DFARS"/>
              <w:jc w:val="center"/>
              <w:rPr>
                <w:szCs w:val="24"/>
              </w:rPr>
            </w:pPr>
            <w:r w:rsidRPr="00476ED4">
              <w:rPr>
                <w:szCs w:val="24"/>
              </w:rPr>
              <w:t>0 to 1</w:t>
            </w:r>
            <w:r w:rsidRPr="00D53312">
              <w:rPr>
                <w:strike/>
                <w:szCs w:val="24"/>
              </w:rPr>
              <w:t>.</w:t>
            </w:r>
          </w:p>
        </w:tc>
      </w:tr>
      <w:tr w:rsidR="00FC26F8" w:rsidRPr="00476ED4" w14:paraId="0A3E4FB8" w14:textId="77777777" w:rsidTr="006307E4">
        <w:tc>
          <w:tcPr>
            <w:tcW w:w="5606" w:type="dxa"/>
            <w:tcBorders>
              <w:top w:val="nil"/>
              <w:bottom w:val="nil"/>
              <w:right w:val="single" w:sz="6" w:space="0" w:color="auto"/>
            </w:tcBorders>
          </w:tcPr>
          <w:p w14:paraId="35CE5BED" w14:textId="77777777" w:rsidR="00FC26F8" w:rsidRPr="00476ED4" w:rsidRDefault="00FC26F8" w:rsidP="007E4324">
            <w:pPr>
              <w:pStyle w:val="DFARS"/>
              <w:keepNext/>
              <w:keepLines/>
              <w:rPr>
                <w:szCs w:val="24"/>
              </w:rPr>
            </w:pPr>
          </w:p>
        </w:tc>
        <w:tc>
          <w:tcPr>
            <w:tcW w:w="946" w:type="dxa"/>
            <w:tcBorders>
              <w:top w:val="nil"/>
              <w:left w:val="nil"/>
              <w:bottom w:val="nil"/>
              <w:right w:val="single" w:sz="6" w:space="0" w:color="auto"/>
            </w:tcBorders>
          </w:tcPr>
          <w:p w14:paraId="48A95E1A" w14:textId="77777777" w:rsidR="00FC26F8" w:rsidRPr="00476ED4" w:rsidRDefault="00FC26F8" w:rsidP="007E4324">
            <w:pPr>
              <w:pStyle w:val="DFARS"/>
              <w:jc w:val="center"/>
              <w:rPr>
                <w:szCs w:val="24"/>
              </w:rPr>
            </w:pPr>
          </w:p>
        </w:tc>
        <w:tc>
          <w:tcPr>
            <w:tcW w:w="1214" w:type="dxa"/>
            <w:tcBorders>
              <w:left w:val="nil"/>
              <w:right w:val="single" w:sz="6" w:space="0" w:color="auto"/>
            </w:tcBorders>
          </w:tcPr>
          <w:p w14:paraId="1B61D424" w14:textId="77777777" w:rsidR="00FC26F8" w:rsidRPr="00476ED4" w:rsidRDefault="00FC26F8" w:rsidP="007E4324">
            <w:pPr>
              <w:pStyle w:val="DFARS"/>
              <w:jc w:val="center"/>
              <w:rPr>
                <w:szCs w:val="24"/>
              </w:rPr>
            </w:pPr>
          </w:p>
        </w:tc>
        <w:tc>
          <w:tcPr>
            <w:tcW w:w="1594" w:type="dxa"/>
            <w:tcBorders>
              <w:left w:val="nil"/>
            </w:tcBorders>
          </w:tcPr>
          <w:p w14:paraId="13143B94" w14:textId="77777777" w:rsidR="00FC26F8" w:rsidRPr="00476ED4" w:rsidRDefault="00FC26F8" w:rsidP="007E4324">
            <w:pPr>
              <w:pStyle w:val="DFARS"/>
              <w:jc w:val="center"/>
              <w:rPr>
                <w:szCs w:val="24"/>
              </w:rPr>
            </w:pPr>
          </w:p>
        </w:tc>
      </w:tr>
      <w:tr w:rsidR="00FC26F8" w:rsidRPr="00476ED4" w14:paraId="36941A5A" w14:textId="77777777" w:rsidTr="00540D27">
        <w:tc>
          <w:tcPr>
            <w:tcW w:w="5606" w:type="dxa"/>
            <w:tcBorders>
              <w:top w:val="nil"/>
              <w:bottom w:val="nil"/>
              <w:right w:val="single" w:sz="6" w:space="0" w:color="auto"/>
            </w:tcBorders>
          </w:tcPr>
          <w:p w14:paraId="13850D1B" w14:textId="3EFE01CB" w:rsidR="00FC26F8" w:rsidRPr="00476ED4" w:rsidRDefault="00FC26F8" w:rsidP="007E4324">
            <w:pPr>
              <w:pStyle w:val="DFARS"/>
              <w:keepNext/>
              <w:keepLines/>
              <w:rPr>
                <w:szCs w:val="24"/>
              </w:rPr>
            </w:pPr>
            <w:r>
              <w:rPr>
                <w:szCs w:val="24"/>
              </w:rPr>
              <w:t>Labor-hour</w:t>
            </w:r>
          </w:p>
          <w:p w14:paraId="72546E51" w14:textId="77777777" w:rsidR="00FC26F8" w:rsidRPr="00476ED4" w:rsidRDefault="00FC26F8" w:rsidP="007E4324">
            <w:pPr>
              <w:pStyle w:val="DFARS"/>
              <w:keepNext/>
              <w:keepLines/>
              <w:rPr>
                <w:szCs w:val="24"/>
              </w:rPr>
            </w:pPr>
          </w:p>
        </w:tc>
        <w:tc>
          <w:tcPr>
            <w:tcW w:w="946" w:type="dxa"/>
            <w:tcBorders>
              <w:top w:val="nil"/>
              <w:left w:val="nil"/>
              <w:bottom w:val="nil"/>
              <w:right w:val="single" w:sz="6" w:space="0" w:color="auto"/>
            </w:tcBorders>
          </w:tcPr>
          <w:p w14:paraId="2C190B65" w14:textId="77777777" w:rsidR="00FC26F8" w:rsidRPr="00476ED4" w:rsidRDefault="00FC26F8" w:rsidP="007E4324">
            <w:pPr>
              <w:pStyle w:val="DFARS"/>
              <w:jc w:val="center"/>
              <w:rPr>
                <w:szCs w:val="24"/>
              </w:rPr>
            </w:pPr>
            <w:r w:rsidRPr="00476ED4">
              <w:rPr>
                <w:szCs w:val="24"/>
              </w:rPr>
              <w:t>(5)</w:t>
            </w:r>
          </w:p>
        </w:tc>
        <w:tc>
          <w:tcPr>
            <w:tcW w:w="1214" w:type="dxa"/>
            <w:tcBorders>
              <w:left w:val="nil"/>
              <w:right w:val="single" w:sz="6" w:space="0" w:color="auto"/>
            </w:tcBorders>
          </w:tcPr>
          <w:p w14:paraId="7606671B" w14:textId="1D7FEC08" w:rsidR="00FC26F8" w:rsidRPr="00476ED4" w:rsidRDefault="00FC26F8" w:rsidP="007E4324">
            <w:pPr>
              <w:pStyle w:val="DFARS"/>
              <w:jc w:val="center"/>
              <w:rPr>
                <w:szCs w:val="24"/>
              </w:rPr>
            </w:pPr>
            <w:r>
              <w:rPr>
                <w:szCs w:val="24"/>
              </w:rPr>
              <w:t>0</w:t>
            </w:r>
            <w:r w:rsidRPr="00476ED4">
              <w:rPr>
                <w:szCs w:val="24"/>
              </w:rPr>
              <w:t>.5</w:t>
            </w:r>
          </w:p>
        </w:tc>
        <w:tc>
          <w:tcPr>
            <w:tcW w:w="1594" w:type="dxa"/>
            <w:tcBorders>
              <w:left w:val="nil"/>
            </w:tcBorders>
          </w:tcPr>
          <w:p w14:paraId="6EAE7A3B" w14:textId="77777777" w:rsidR="00FC26F8" w:rsidRPr="00476ED4" w:rsidRDefault="00FC26F8" w:rsidP="007E4324">
            <w:pPr>
              <w:pStyle w:val="DFARS"/>
              <w:jc w:val="center"/>
              <w:rPr>
                <w:szCs w:val="24"/>
              </w:rPr>
            </w:pPr>
            <w:r w:rsidRPr="00476ED4">
              <w:rPr>
                <w:szCs w:val="24"/>
              </w:rPr>
              <w:t>0 to 1</w:t>
            </w:r>
            <w:r w:rsidRPr="00D53312">
              <w:rPr>
                <w:strike/>
                <w:szCs w:val="24"/>
              </w:rPr>
              <w:t>.</w:t>
            </w:r>
          </w:p>
        </w:tc>
      </w:tr>
      <w:tr w:rsidR="00FC26F8" w:rsidRPr="00476ED4" w14:paraId="275428D3" w14:textId="77777777" w:rsidTr="002157A5">
        <w:tc>
          <w:tcPr>
            <w:tcW w:w="5606" w:type="dxa"/>
            <w:tcBorders>
              <w:top w:val="nil"/>
              <w:bottom w:val="single" w:sz="6" w:space="0" w:color="auto"/>
              <w:right w:val="single" w:sz="6" w:space="0" w:color="auto"/>
            </w:tcBorders>
          </w:tcPr>
          <w:p w14:paraId="6AC3BE58" w14:textId="77777777" w:rsidR="00FC26F8" w:rsidRPr="00476ED4" w:rsidRDefault="00FC26F8" w:rsidP="007E4324">
            <w:pPr>
              <w:pStyle w:val="DFARS"/>
              <w:keepNext/>
              <w:keepLines/>
              <w:rPr>
                <w:szCs w:val="24"/>
              </w:rPr>
            </w:pPr>
            <w:r w:rsidRPr="00476ED4">
              <w:rPr>
                <w:szCs w:val="24"/>
              </w:rPr>
              <w:t>Firm-fixed-price, level-of-effort</w:t>
            </w:r>
          </w:p>
        </w:tc>
        <w:tc>
          <w:tcPr>
            <w:tcW w:w="946" w:type="dxa"/>
            <w:tcBorders>
              <w:top w:val="nil"/>
              <w:left w:val="nil"/>
              <w:bottom w:val="single" w:sz="6" w:space="0" w:color="auto"/>
              <w:right w:val="single" w:sz="6" w:space="0" w:color="auto"/>
            </w:tcBorders>
          </w:tcPr>
          <w:p w14:paraId="726A1307" w14:textId="77777777" w:rsidR="00FC26F8" w:rsidRPr="00476ED4" w:rsidRDefault="00FC26F8" w:rsidP="007E4324">
            <w:pPr>
              <w:pStyle w:val="DFARS"/>
              <w:jc w:val="center"/>
              <w:rPr>
                <w:szCs w:val="24"/>
              </w:rPr>
            </w:pPr>
            <w:r w:rsidRPr="00476ED4">
              <w:rPr>
                <w:szCs w:val="24"/>
              </w:rPr>
              <w:t>(5)</w:t>
            </w:r>
          </w:p>
        </w:tc>
        <w:tc>
          <w:tcPr>
            <w:tcW w:w="1214" w:type="dxa"/>
            <w:tcBorders>
              <w:left w:val="nil"/>
              <w:right w:val="single" w:sz="6" w:space="0" w:color="auto"/>
            </w:tcBorders>
          </w:tcPr>
          <w:p w14:paraId="380A9B3C" w14:textId="44A55A5D" w:rsidR="00FC26F8" w:rsidRPr="00476ED4" w:rsidRDefault="00FC26F8" w:rsidP="007E4324">
            <w:pPr>
              <w:pStyle w:val="DFARS"/>
              <w:jc w:val="center"/>
              <w:rPr>
                <w:szCs w:val="24"/>
              </w:rPr>
            </w:pPr>
            <w:r>
              <w:rPr>
                <w:szCs w:val="24"/>
              </w:rPr>
              <w:t>0</w:t>
            </w:r>
            <w:r w:rsidRPr="00476ED4">
              <w:rPr>
                <w:szCs w:val="24"/>
              </w:rPr>
              <w:t>.5</w:t>
            </w:r>
          </w:p>
        </w:tc>
        <w:tc>
          <w:tcPr>
            <w:tcW w:w="1594" w:type="dxa"/>
            <w:tcBorders>
              <w:left w:val="nil"/>
            </w:tcBorders>
          </w:tcPr>
          <w:p w14:paraId="09F21674" w14:textId="77777777" w:rsidR="00FC26F8" w:rsidRPr="00476ED4" w:rsidRDefault="00FC26F8" w:rsidP="007E4324">
            <w:pPr>
              <w:pStyle w:val="DFARS"/>
              <w:jc w:val="center"/>
              <w:rPr>
                <w:szCs w:val="24"/>
              </w:rPr>
            </w:pPr>
            <w:r w:rsidRPr="00476ED4">
              <w:rPr>
                <w:szCs w:val="24"/>
              </w:rPr>
              <w:t>0 to 1</w:t>
            </w:r>
            <w:r w:rsidRPr="00D53312">
              <w:rPr>
                <w:strike/>
                <w:szCs w:val="24"/>
              </w:rPr>
              <w:t>.</w:t>
            </w:r>
          </w:p>
        </w:tc>
      </w:tr>
    </w:tbl>
    <w:p w14:paraId="026358FA" w14:textId="77777777" w:rsidR="00D53312" w:rsidRDefault="00D53312" w:rsidP="007629FE">
      <w:pPr>
        <w:pStyle w:val="DFARS"/>
      </w:pPr>
    </w:p>
    <w:p w14:paraId="191608B1" w14:textId="2A8B28FE" w:rsidR="007629FE" w:rsidRDefault="004A23EC" w:rsidP="007629FE">
      <w:pPr>
        <w:pStyle w:val="DFARS"/>
      </w:pPr>
      <w:r>
        <w:t>* * * * *</w:t>
      </w:r>
    </w:p>
    <w:p w14:paraId="37B071AA" w14:textId="77777777" w:rsidR="004A23EC" w:rsidRDefault="004A23EC" w:rsidP="007629FE">
      <w:pPr>
        <w:pStyle w:val="DFARS"/>
      </w:pPr>
    </w:p>
    <w:p w14:paraId="7D5830D5" w14:textId="77777777" w:rsidR="007629FE" w:rsidRDefault="007629FE" w:rsidP="007629FE">
      <w:pPr>
        <w:pStyle w:val="DFARS"/>
        <w:rPr>
          <w:b/>
        </w:rPr>
      </w:pPr>
      <w:r>
        <w:rPr>
          <w:b/>
        </w:rPr>
        <w:lastRenderedPageBreak/>
        <w:t>PART 242—CONTRACT ADMINISTRATION AND AUDIT SERVICES</w:t>
      </w:r>
    </w:p>
    <w:p w14:paraId="3B5666F9" w14:textId="77777777" w:rsidR="007629FE" w:rsidRDefault="007629FE" w:rsidP="007629FE">
      <w:pPr>
        <w:pStyle w:val="DFARS"/>
        <w:rPr>
          <w:b/>
        </w:rPr>
      </w:pPr>
    </w:p>
    <w:p w14:paraId="7CB92137" w14:textId="77777777" w:rsidR="007629FE" w:rsidRDefault="007629FE" w:rsidP="007629FE">
      <w:pPr>
        <w:pStyle w:val="DFARS"/>
        <w:rPr>
          <w:b/>
        </w:rPr>
      </w:pPr>
      <w:r>
        <w:rPr>
          <w:b/>
        </w:rPr>
        <w:t>* * * * *</w:t>
      </w:r>
    </w:p>
    <w:p w14:paraId="653C351D" w14:textId="77777777" w:rsidR="007629FE" w:rsidRDefault="007629FE" w:rsidP="007629FE">
      <w:pPr>
        <w:pStyle w:val="DFARS"/>
        <w:rPr>
          <w:b/>
        </w:rPr>
      </w:pPr>
    </w:p>
    <w:p w14:paraId="51CE765F" w14:textId="77777777" w:rsidR="007629FE" w:rsidRDefault="007629FE" w:rsidP="007629FE">
      <w:pPr>
        <w:pStyle w:val="DFARS"/>
        <w:jc w:val="center"/>
        <w:rPr>
          <w:b/>
        </w:rPr>
      </w:pPr>
      <w:r>
        <w:rPr>
          <w:b/>
        </w:rPr>
        <w:t>SUBPART 242.2—CONTRACT ADMINISTRATION SERVICES</w:t>
      </w:r>
    </w:p>
    <w:p w14:paraId="789FF65F" w14:textId="77777777" w:rsidR="007629FE" w:rsidRDefault="007629FE" w:rsidP="007629FE">
      <w:pPr>
        <w:pStyle w:val="DFARS"/>
        <w:rPr>
          <w:b/>
        </w:rPr>
      </w:pPr>
    </w:p>
    <w:p w14:paraId="2BBB8EE0" w14:textId="77777777" w:rsidR="007629FE" w:rsidRDefault="007629FE" w:rsidP="007629FE">
      <w:pPr>
        <w:pStyle w:val="DFARS"/>
      </w:pPr>
      <w:r>
        <w:t>* * * * *</w:t>
      </w:r>
    </w:p>
    <w:p w14:paraId="556504A9" w14:textId="77777777" w:rsidR="007629FE" w:rsidRDefault="007629FE" w:rsidP="00A34A97">
      <w:pPr>
        <w:pStyle w:val="DFARS"/>
      </w:pPr>
    </w:p>
    <w:p w14:paraId="1F70A6B5" w14:textId="77777777" w:rsidR="007629FE" w:rsidRDefault="007629FE" w:rsidP="007629FE">
      <w:pPr>
        <w:pStyle w:val="DFARS"/>
        <w:rPr>
          <w:b/>
        </w:rPr>
      </w:pPr>
      <w:r>
        <w:rPr>
          <w:b/>
        </w:rPr>
        <w:t>242.202  Assignment of contract administration.</w:t>
      </w:r>
    </w:p>
    <w:p w14:paraId="3FB82307" w14:textId="77777777" w:rsidR="007629FE" w:rsidRDefault="007629FE" w:rsidP="007629FE">
      <w:pPr>
        <w:pStyle w:val="DFARS"/>
      </w:pPr>
    </w:p>
    <w:p w14:paraId="1624A301" w14:textId="77777777" w:rsidR="007629FE" w:rsidRDefault="007629FE" w:rsidP="00A34A97">
      <w:pPr>
        <w:pStyle w:val="DFARS"/>
      </w:pPr>
      <w:r>
        <w:t>* * * * *</w:t>
      </w:r>
    </w:p>
    <w:p w14:paraId="168E2094" w14:textId="77777777" w:rsidR="007629FE" w:rsidRDefault="007629FE" w:rsidP="00A34A97">
      <w:pPr>
        <w:pStyle w:val="DFARS"/>
      </w:pPr>
    </w:p>
    <w:p w14:paraId="65847E9E" w14:textId="74570EB0" w:rsidR="007629FE" w:rsidRDefault="007629FE" w:rsidP="00A34A97">
      <w:pPr>
        <w:pStyle w:val="DFARS"/>
      </w:pPr>
      <w:r>
        <w:tab/>
        <w:t xml:space="preserve">(e)(1)(A)  </w:t>
      </w:r>
      <w:r w:rsidRPr="007629FE">
        <w:t>In special circumstances, a contract administration office may request support from a component not listed in the Federal Directory of Contract Administration Services Components (available via the Internet at</w:t>
      </w:r>
      <w:r>
        <w:t xml:space="preserve"> </w:t>
      </w:r>
      <w:r>
        <w:rPr>
          <w:b/>
        </w:rPr>
        <w:t>[</w:t>
      </w:r>
      <w:r w:rsidRPr="00760305">
        <w:rPr>
          <w:b/>
          <w:i/>
        </w:rPr>
        <w:t>https://piee.eb.mil/pcm/xhtml/unauth/index.xhtml</w:t>
      </w:r>
      <w:r>
        <w:rPr>
          <w:b/>
        </w:rPr>
        <w:t>]</w:t>
      </w:r>
      <w:r w:rsidRPr="00760305">
        <w:rPr>
          <w:i/>
          <w:iCs/>
          <w:strike/>
        </w:rPr>
        <w:t>https://pubapp.dcma.mil/CASD/main.jsp</w:t>
      </w:r>
      <w:r>
        <w:t>).  * * *</w:t>
      </w:r>
    </w:p>
    <w:p w14:paraId="26FA5DB9" w14:textId="77777777" w:rsidR="007629FE" w:rsidRDefault="007629FE" w:rsidP="00A34A97">
      <w:pPr>
        <w:pStyle w:val="DFARS"/>
      </w:pPr>
    </w:p>
    <w:p w14:paraId="6DEA5261" w14:textId="77777777" w:rsidR="00E96BB0" w:rsidRPr="00E96BB0" w:rsidRDefault="00E96BB0" w:rsidP="00A34A97">
      <w:pPr>
        <w:pStyle w:val="DFARS"/>
      </w:pPr>
      <w:r>
        <w:t>* * * * *</w:t>
      </w:r>
    </w:p>
    <w:p w14:paraId="51673AB7" w14:textId="77777777" w:rsidR="00137D35" w:rsidRDefault="00137D35" w:rsidP="00A34A97">
      <w:pPr>
        <w:pStyle w:val="DFARS"/>
      </w:pPr>
    </w:p>
    <w:p w14:paraId="0044527B" w14:textId="77777777" w:rsidR="0063555B" w:rsidRDefault="0063555B" w:rsidP="0063555B">
      <w:pPr>
        <w:pStyle w:val="DFARS"/>
        <w:rPr>
          <w:b/>
        </w:rPr>
      </w:pPr>
      <w:r>
        <w:rPr>
          <w:b/>
        </w:rPr>
        <w:t>PART 252—SOLICITATION PROVISIONS AND CONTRACT CLAUSES</w:t>
      </w:r>
    </w:p>
    <w:p w14:paraId="581CDD8C" w14:textId="77777777" w:rsidR="0063555B" w:rsidRDefault="0063555B" w:rsidP="0063555B">
      <w:pPr>
        <w:pStyle w:val="DFARS"/>
        <w:rPr>
          <w:b/>
        </w:rPr>
      </w:pPr>
    </w:p>
    <w:p w14:paraId="666C2BC9" w14:textId="77777777" w:rsidR="0063555B" w:rsidRDefault="0063555B" w:rsidP="0063555B">
      <w:pPr>
        <w:pStyle w:val="DFARS"/>
        <w:rPr>
          <w:b/>
        </w:rPr>
      </w:pPr>
      <w:r>
        <w:rPr>
          <w:b/>
        </w:rPr>
        <w:t>* * * * *</w:t>
      </w:r>
    </w:p>
    <w:p w14:paraId="5ED8A3C5" w14:textId="77777777" w:rsidR="0063555B" w:rsidRDefault="0063555B" w:rsidP="0063555B">
      <w:pPr>
        <w:pStyle w:val="DFARS"/>
        <w:rPr>
          <w:b/>
        </w:rPr>
      </w:pPr>
    </w:p>
    <w:p w14:paraId="380FB008" w14:textId="77777777" w:rsidR="0063555B" w:rsidRDefault="0063555B" w:rsidP="0063555B">
      <w:pPr>
        <w:pStyle w:val="DFARS"/>
        <w:jc w:val="center"/>
        <w:rPr>
          <w:b/>
        </w:rPr>
      </w:pPr>
      <w:r>
        <w:rPr>
          <w:b/>
        </w:rPr>
        <w:t>SUBPART 252.2—TEXT OF PROVISIONS AND CLAUSES</w:t>
      </w:r>
    </w:p>
    <w:p w14:paraId="4CE0F939" w14:textId="77777777" w:rsidR="0063555B" w:rsidRDefault="0063555B" w:rsidP="0063555B">
      <w:pPr>
        <w:pStyle w:val="DFARS"/>
        <w:rPr>
          <w:b/>
        </w:rPr>
      </w:pPr>
    </w:p>
    <w:p w14:paraId="6DC5E322" w14:textId="77777777" w:rsidR="0063555B" w:rsidRDefault="0063555B" w:rsidP="0063555B">
      <w:pPr>
        <w:pStyle w:val="DFARS"/>
        <w:rPr>
          <w:b/>
        </w:rPr>
      </w:pPr>
      <w:r>
        <w:rPr>
          <w:b/>
        </w:rPr>
        <w:t>* * * * *</w:t>
      </w:r>
    </w:p>
    <w:p w14:paraId="5BA790FA" w14:textId="77777777" w:rsidR="00FE0165" w:rsidRDefault="00FE0165" w:rsidP="0063555B">
      <w:pPr>
        <w:pStyle w:val="DFARS"/>
        <w:rPr>
          <w:b/>
        </w:rPr>
      </w:pPr>
    </w:p>
    <w:p w14:paraId="4671A9F3" w14:textId="77777777" w:rsidR="00FE0165" w:rsidRDefault="00FE0165" w:rsidP="0063555B">
      <w:pPr>
        <w:pStyle w:val="DFARS"/>
        <w:rPr>
          <w:b/>
        </w:rPr>
      </w:pPr>
      <w:r>
        <w:rPr>
          <w:b/>
        </w:rPr>
        <w:t xml:space="preserve">252.204-7007  </w:t>
      </w:r>
      <w:r w:rsidR="00541461">
        <w:rPr>
          <w:b/>
        </w:rPr>
        <w:t>Alternate A, Annual Representations and Certifications.</w:t>
      </w:r>
    </w:p>
    <w:p w14:paraId="1191B508" w14:textId="77777777" w:rsidR="00FE0165" w:rsidRDefault="00541461" w:rsidP="0063555B">
      <w:pPr>
        <w:pStyle w:val="DFARS"/>
      </w:pPr>
      <w:r>
        <w:t>As prescribed in 204.1202, use the following provision:</w:t>
      </w:r>
    </w:p>
    <w:p w14:paraId="1DDAC103" w14:textId="77777777" w:rsidR="00541461" w:rsidRDefault="00541461" w:rsidP="0063555B">
      <w:pPr>
        <w:pStyle w:val="DFARS"/>
      </w:pPr>
    </w:p>
    <w:p w14:paraId="6C2B400B" w14:textId="5481D18E" w:rsidR="00FE0165" w:rsidRDefault="00541461" w:rsidP="00FE0165">
      <w:pPr>
        <w:pStyle w:val="DFARS"/>
        <w:jc w:val="center"/>
      </w:pPr>
      <w:r>
        <w:t>ALTERNATE A, ANNUAL REPRESENTATIONS AND CERTIFICATIONS (</w:t>
      </w:r>
      <w:r w:rsidRPr="00541461">
        <w:rPr>
          <w:strike/>
        </w:rPr>
        <w:t>NOV 2020</w:t>
      </w:r>
      <w:r>
        <w:rPr>
          <w:b/>
        </w:rPr>
        <w:t>[</w:t>
      </w:r>
      <w:r w:rsidR="00444787">
        <w:rPr>
          <w:b/>
        </w:rPr>
        <w:t>MAY 2021</w:t>
      </w:r>
      <w:r>
        <w:rPr>
          <w:b/>
        </w:rPr>
        <w:t>]</w:t>
      </w:r>
      <w:r>
        <w:t>)</w:t>
      </w:r>
    </w:p>
    <w:p w14:paraId="5244C96D" w14:textId="77777777" w:rsidR="00FE0165" w:rsidRDefault="00FE0165" w:rsidP="0063555B">
      <w:pPr>
        <w:pStyle w:val="DFARS"/>
      </w:pPr>
    </w:p>
    <w:p w14:paraId="33F035F0" w14:textId="77777777" w:rsidR="00FE0165" w:rsidRDefault="00FE0165" w:rsidP="0063555B">
      <w:pPr>
        <w:pStyle w:val="DFARS"/>
      </w:pPr>
      <w:r>
        <w:t>* * * * *</w:t>
      </w:r>
    </w:p>
    <w:p w14:paraId="2151FBC6" w14:textId="77777777" w:rsidR="00FE0165" w:rsidRDefault="00FE0165" w:rsidP="0063555B">
      <w:pPr>
        <w:pStyle w:val="DFARS"/>
      </w:pPr>
    </w:p>
    <w:p w14:paraId="6134AE9F" w14:textId="77777777" w:rsidR="00FE0165" w:rsidRDefault="00FE0165" w:rsidP="0063555B">
      <w:pPr>
        <w:pStyle w:val="DFARS"/>
      </w:pPr>
      <w:r>
        <w:tab/>
        <w:t xml:space="preserve">(e)  </w:t>
      </w:r>
      <w:r w:rsidRPr="00FE0165">
        <w:t xml:space="preserve">The </w:t>
      </w:r>
      <w:r w:rsidRPr="00FE0165">
        <w:rPr>
          <w:strike/>
        </w:rPr>
        <w:t>o</w:t>
      </w:r>
      <w:r w:rsidRPr="00FE0165">
        <w:rPr>
          <w:b/>
        </w:rPr>
        <w:t>[O]</w:t>
      </w:r>
      <w:proofErr w:type="spellStart"/>
      <w:r w:rsidRPr="00FE0165">
        <w:t>fferor</w:t>
      </w:r>
      <w:proofErr w:type="spellEnd"/>
      <w:r w:rsidRPr="00FE0165">
        <w:t xml:space="preserve"> has completed the annual representations and certifications electronically via the SAM </w:t>
      </w:r>
      <w:r w:rsidRPr="00FE0165">
        <w:rPr>
          <w:strike/>
        </w:rPr>
        <w:t>Web site</w:t>
      </w:r>
      <w:r>
        <w:rPr>
          <w:b/>
        </w:rPr>
        <w:t>[website]</w:t>
      </w:r>
      <w:r w:rsidRPr="00FE0165">
        <w:t xml:space="preserve"> at </w:t>
      </w:r>
      <w:r w:rsidRPr="00FE0165">
        <w:rPr>
          <w:i/>
        </w:rPr>
        <w:t>https://www.acquisition.gov/</w:t>
      </w:r>
      <w:r w:rsidRPr="00FE0165">
        <w:t xml:space="preserve">. </w:t>
      </w:r>
      <w:r>
        <w:t xml:space="preserve"> </w:t>
      </w:r>
      <w:r w:rsidRPr="00FE0165">
        <w:t xml:space="preserve">After reviewing the </w:t>
      </w:r>
      <w:r w:rsidRPr="00FE0165">
        <w:rPr>
          <w:strike/>
        </w:rPr>
        <w:t>ORCA database</w:t>
      </w:r>
      <w:r>
        <w:rPr>
          <w:b/>
        </w:rPr>
        <w:t>[SAM database]</w:t>
      </w:r>
      <w:r w:rsidRPr="00FE0165">
        <w:t xml:space="preserve"> information, the </w:t>
      </w:r>
      <w:r w:rsidRPr="00FE0165">
        <w:rPr>
          <w:strike/>
        </w:rPr>
        <w:t>o</w:t>
      </w:r>
      <w:r w:rsidRPr="00FE0165">
        <w:rPr>
          <w:b/>
        </w:rPr>
        <w:t>[O]</w:t>
      </w:r>
      <w:proofErr w:type="spellStart"/>
      <w:r w:rsidRPr="00FE0165">
        <w:t>fferor</w:t>
      </w:r>
      <w:proofErr w:type="spellEnd"/>
      <w:r w:rsidRPr="00FE0165">
        <w:t xml:space="preserve">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sidRPr="00FE0165">
        <w:rPr>
          <w:i/>
          <w:strike/>
        </w:rPr>
        <w:t>o</w:t>
      </w:r>
      <w:r w:rsidRPr="00FE0165">
        <w:rPr>
          <w:b/>
        </w:rPr>
        <w:t>[</w:t>
      </w:r>
      <w:r w:rsidRPr="00FE0165">
        <w:rPr>
          <w:b/>
          <w:i/>
        </w:rPr>
        <w:t>O</w:t>
      </w:r>
      <w:r w:rsidRPr="00FE0165">
        <w:rPr>
          <w:b/>
        </w:rPr>
        <w:t>]</w:t>
      </w:r>
      <w:proofErr w:type="spellStart"/>
      <w:r w:rsidRPr="00FE0165">
        <w:rPr>
          <w:i/>
        </w:rPr>
        <w:t>fferor</w:t>
      </w:r>
      <w:proofErr w:type="spellEnd"/>
      <w:r w:rsidRPr="00FE0165">
        <w:rPr>
          <w:i/>
        </w:rPr>
        <w:t xml:space="preserve"> to insert changes, identifying change by provision number, title, date</w:t>
      </w:r>
      <w:r w:rsidRPr="00FE0165">
        <w:t>].</w:t>
      </w:r>
      <w:r>
        <w:t xml:space="preserve"> </w:t>
      </w:r>
      <w:r w:rsidRPr="00FE0165">
        <w:t xml:space="preserve"> </w:t>
      </w:r>
      <w:r w:rsidR="00453ED5" w:rsidRPr="00453ED5">
        <w:t>These amended representation(s) and/or certification(s) are also incorporated in this offer and are current, accurate, and complete as of the date of this offer.</w:t>
      </w:r>
      <w:r w:rsidR="006D3798">
        <w:t xml:space="preserve">  </w:t>
      </w:r>
      <w:r w:rsidRPr="00453ED5">
        <w:rPr>
          <w:strike/>
        </w:rPr>
        <w:t xml:space="preserve">Any changes provided by the </w:t>
      </w:r>
      <w:r w:rsidR="00453ED5" w:rsidRPr="00453ED5">
        <w:rPr>
          <w:strike/>
        </w:rPr>
        <w:t>o</w:t>
      </w:r>
      <w:r w:rsidRPr="00453ED5">
        <w:rPr>
          <w:strike/>
        </w:rPr>
        <w:t>fferor are applicable to this solicitation only, and do not result in an update to the representations and certifications located in the SAM database.</w:t>
      </w:r>
    </w:p>
    <w:p w14:paraId="3D1C05D8" w14:textId="77777777" w:rsidR="00FE0165" w:rsidRDefault="00FE0165" w:rsidP="0063555B">
      <w:pPr>
        <w:pStyle w:val="DFARS"/>
      </w:pPr>
    </w:p>
    <w:tbl>
      <w:tblPr>
        <w:tblStyle w:val="TableGrid"/>
        <w:tblW w:w="0" w:type="auto"/>
        <w:tblLook w:val="04A0" w:firstRow="1" w:lastRow="0" w:firstColumn="1" w:lastColumn="0" w:noHBand="0" w:noVBand="1"/>
      </w:tblPr>
      <w:tblGrid>
        <w:gridCol w:w="2674"/>
        <w:gridCol w:w="2702"/>
        <w:gridCol w:w="1635"/>
        <w:gridCol w:w="2339"/>
      </w:tblGrid>
      <w:tr w:rsidR="00FE0165" w14:paraId="53190699" w14:textId="77777777" w:rsidTr="00FE0165">
        <w:tc>
          <w:tcPr>
            <w:tcW w:w="2718" w:type="dxa"/>
          </w:tcPr>
          <w:p w14:paraId="77190183" w14:textId="77777777" w:rsidR="00FE0165" w:rsidRPr="00FE0165" w:rsidRDefault="00FE0165" w:rsidP="0063555B">
            <w:pPr>
              <w:pStyle w:val="DFARS"/>
              <w:rPr>
                <w:b/>
              </w:rPr>
            </w:pPr>
            <w:r>
              <w:rPr>
                <w:b/>
              </w:rPr>
              <w:lastRenderedPageBreak/>
              <w:t xml:space="preserve">FAR/DFARS </w:t>
            </w:r>
            <w:r w:rsidRPr="00541461">
              <w:rPr>
                <w:b/>
                <w:strike/>
              </w:rPr>
              <w:t>p</w:t>
            </w:r>
            <w:r w:rsidR="00541461">
              <w:rPr>
                <w:b/>
              </w:rPr>
              <w:t>[P]</w:t>
            </w:r>
            <w:proofErr w:type="spellStart"/>
            <w:r>
              <w:rPr>
                <w:b/>
              </w:rPr>
              <w:t>rovision</w:t>
            </w:r>
            <w:proofErr w:type="spellEnd"/>
            <w:r>
              <w:rPr>
                <w:b/>
              </w:rPr>
              <w:t xml:space="preserve"> No.</w:t>
            </w:r>
          </w:p>
        </w:tc>
        <w:tc>
          <w:tcPr>
            <w:tcW w:w="2790" w:type="dxa"/>
          </w:tcPr>
          <w:p w14:paraId="155BFAD3" w14:textId="77777777" w:rsidR="00FE0165" w:rsidRPr="00FE0165" w:rsidRDefault="00FE0165" w:rsidP="0063555B">
            <w:pPr>
              <w:pStyle w:val="DFARS"/>
              <w:rPr>
                <w:b/>
              </w:rPr>
            </w:pPr>
            <w:r>
              <w:rPr>
                <w:b/>
              </w:rPr>
              <w:t>Title</w:t>
            </w:r>
          </w:p>
        </w:tc>
        <w:tc>
          <w:tcPr>
            <w:tcW w:w="1674" w:type="dxa"/>
          </w:tcPr>
          <w:p w14:paraId="04B22A6D" w14:textId="77777777" w:rsidR="00FE0165" w:rsidRPr="00FE0165" w:rsidRDefault="00FE0165" w:rsidP="0063555B">
            <w:pPr>
              <w:pStyle w:val="DFARS"/>
              <w:rPr>
                <w:b/>
              </w:rPr>
            </w:pPr>
            <w:r>
              <w:rPr>
                <w:b/>
              </w:rPr>
              <w:t>Date</w:t>
            </w:r>
          </w:p>
        </w:tc>
        <w:tc>
          <w:tcPr>
            <w:tcW w:w="2394" w:type="dxa"/>
          </w:tcPr>
          <w:p w14:paraId="42124CCC" w14:textId="77777777" w:rsidR="00FE0165" w:rsidRPr="00FE0165" w:rsidRDefault="00FE0165" w:rsidP="0063555B">
            <w:pPr>
              <w:pStyle w:val="DFARS"/>
              <w:rPr>
                <w:b/>
              </w:rPr>
            </w:pPr>
            <w:r>
              <w:rPr>
                <w:b/>
              </w:rPr>
              <w:t>Change</w:t>
            </w:r>
          </w:p>
        </w:tc>
      </w:tr>
      <w:tr w:rsidR="00FE0165" w14:paraId="33CD68D2" w14:textId="77777777" w:rsidTr="00FE0165">
        <w:tc>
          <w:tcPr>
            <w:tcW w:w="2718" w:type="dxa"/>
          </w:tcPr>
          <w:p w14:paraId="021F0948" w14:textId="77777777" w:rsidR="00FE0165" w:rsidRDefault="00FE0165" w:rsidP="0063555B">
            <w:pPr>
              <w:pStyle w:val="DFARS"/>
            </w:pPr>
          </w:p>
        </w:tc>
        <w:tc>
          <w:tcPr>
            <w:tcW w:w="2790" w:type="dxa"/>
          </w:tcPr>
          <w:p w14:paraId="7BB3BFA2" w14:textId="77777777" w:rsidR="00FE0165" w:rsidRDefault="00FE0165" w:rsidP="0063555B">
            <w:pPr>
              <w:pStyle w:val="DFARS"/>
            </w:pPr>
          </w:p>
        </w:tc>
        <w:tc>
          <w:tcPr>
            <w:tcW w:w="1674" w:type="dxa"/>
          </w:tcPr>
          <w:p w14:paraId="39CB97B3" w14:textId="77777777" w:rsidR="00FE0165" w:rsidRDefault="00FE0165" w:rsidP="0063555B">
            <w:pPr>
              <w:pStyle w:val="DFARS"/>
            </w:pPr>
          </w:p>
        </w:tc>
        <w:tc>
          <w:tcPr>
            <w:tcW w:w="2394" w:type="dxa"/>
          </w:tcPr>
          <w:p w14:paraId="52878385" w14:textId="77777777" w:rsidR="00FE0165" w:rsidRDefault="00FE0165" w:rsidP="0063555B">
            <w:pPr>
              <w:pStyle w:val="DFARS"/>
            </w:pPr>
          </w:p>
        </w:tc>
      </w:tr>
    </w:tbl>
    <w:p w14:paraId="6A3B2285" w14:textId="77777777" w:rsidR="00FE0165" w:rsidRDefault="00FE0165" w:rsidP="0063555B">
      <w:pPr>
        <w:pStyle w:val="DFARS"/>
      </w:pPr>
    </w:p>
    <w:p w14:paraId="79A8272C" w14:textId="77777777" w:rsidR="00FE0165" w:rsidRDefault="00FE0165" w:rsidP="0063555B">
      <w:pPr>
        <w:pStyle w:val="DFARS"/>
      </w:pPr>
      <w:r>
        <w:tab/>
      </w:r>
      <w:r w:rsidRPr="00FE0165">
        <w:t xml:space="preserve">Any changes provided by the </w:t>
      </w:r>
      <w:r w:rsidRPr="00FE0165">
        <w:rPr>
          <w:strike/>
        </w:rPr>
        <w:t>o</w:t>
      </w:r>
      <w:r w:rsidRPr="00FE0165">
        <w:rPr>
          <w:b/>
        </w:rPr>
        <w:t>[O]</w:t>
      </w:r>
      <w:proofErr w:type="spellStart"/>
      <w:r w:rsidRPr="00FE0165">
        <w:t>fferor</w:t>
      </w:r>
      <w:proofErr w:type="spellEnd"/>
      <w:r w:rsidRPr="00FE0165">
        <w:t xml:space="preserve"> are applicable to this solicitation only, and do not result in an update to the representations and certifications </w:t>
      </w:r>
      <w:r w:rsidRPr="00541461">
        <w:rPr>
          <w:strike/>
        </w:rPr>
        <w:t>posted o</w:t>
      </w:r>
      <w:r w:rsidRPr="00FE0165">
        <w:rPr>
          <w:strike/>
        </w:rPr>
        <w:t>n ORCA</w:t>
      </w:r>
      <w:r>
        <w:rPr>
          <w:b/>
        </w:rPr>
        <w:t>[</w:t>
      </w:r>
      <w:r w:rsidR="00541461">
        <w:rPr>
          <w:b/>
        </w:rPr>
        <w:t xml:space="preserve">located </w:t>
      </w:r>
      <w:r>
        <w:rPr>
          <w:b/>
        </w:rPr>
        <w:t xml:space="preserve">in </w:t>
      </w:r>
      <w:r w:rsidR="00453ED5">
        <w:rPr>
          <w:b/>
        </w:rPr>
        <w:t xml:space="preserve">the </w:t>
      </w:r>
      <w:r>
        <w:rPr>
          <w:b/>
        </w:rPr>
        <w:t>SAM</w:t>
      </w:r>
      <w:r w:rsidR="00453ED5">
        <w:rPr>
          <w:b/>
        </w:rPr>
        <w:t xml:space="preserve"> database</w:t>
      </w:r>
      <w:r>
        <w:rPr>
          <w:b/>
        </w:rPr>
        <w:t>]</w:t>
      </w:r>
      <w:r w:rsidRPr="00FE0165">
        <w:t>.</w:t>
      </w:r>
    </w:p>
    <w:p w14:paraId="42F3C18A" w14:textId="77777777" w:rsidR="00FE0165" w:rsidRPr="00FE0165" w:rsidRDefault="00FE0165" w:rsidP="0063555B">
      <w:pPr>
        <w:pStyle w:val="DFARS"/>
      </w:pPr>
    </w:p>
    <w:p w14:paraId="1C549D08" w14:textId="77777777" w:rsidR="00FE0165" w:rsidRDefault="00FE0165" w:rsidP="0063555B">
      <w:pPr>
        <w:pStyle w:val="DFARS"/>
        <w:rPr>
          <w:b/>
        </w:rPr>
      </w:pPr>
      <w:r>
        <w:rPr>
          <w:b/>
        </w:rPr>
        <w:t>* * * * *</w:t>
      </w:r>
    </w:p>
    <w:p w14:paraId="751903D6" w14:textId="77777777" w:rsidR="0063555B" w:rsidRDefault="0063555B" w:rsidP="0063555B">
      <w:pPr>
        <w:pStyle w:val="DFARS"/>
        <w:rPr>
          <w:b/>
        </w:rPr>
      </w:pPr>
    </w:p>
    <w:p w14:paraId="5BB510F7" w14:textId="77777777" w:rsidR="0063555B" w:rsidRDefault="0063555B" w:rsidP="0063555B">
      <w:pPr>
        <w:pStyle w:val="DFARS"/>
        <w:rPr>
          <w:b/>
        </w:rPr>
      </w:pPr>
      <w:r>
        <w:rPr>
          <w:b/>
        </w:rPr>
        <w:t xml:space="preserve">252.204-7017  </w:t>
      </w:r>
      <w:r w:rsidRPr="0063555B">
        <w:rPr>
          <w:b/>
        </w:rPr>
        <w:t>Prohibition on the Acquisition of Covered Defense Telecommunications Equipment or Services—Representation.</w:t>
      </w:r>
    </w:p>
    <w:p w14:paraId="4C58C70B" w14:textId="77777777" w:rsidR="0063555B" w:rsidRDefault="0063555B" w:rsidP="00A34A97">
      <w:pPr>
        <w:pStyle w:val="DFARS"/>
      </w:pPr>
      <w:r w:rsidRPr="0063555B">
        <w:t>As prescribed in 204.2105(b), use the following provision:</w:t>
      </w:r>
    </w:p>
    <w:p w14:paraId="04D8DFBE" w14:textId="77777777" w:rsidR="0063555B" w:rsidRDefault="0063555B" w:rsidP="00A34A97">
      <w:pPr>
        <w:pStyle w:val="DFARS"/>
      </w:pPr>
    </w:p>
    <w:p w14:paraId="0F0C4156" w14:textId="2DFB07FA" w:rsidR="0063555B" w:rsidRDefault="0063555B" w:rsidP="0063555B">
      <w:pPr>
        <w:pStyle w:val="DFARS"/>
        <w:jc w:val="center"/>
      </w:pPr>
      <w:r w:rsidRPr="0063555B">
        <w:t>P</w:t>
      </w:r>
      <w:r>
        <w:t>ROHIBITION</w:t>
      </w:r>
      <w:r w:rsidRPr="0063555B">
        <w:t xml:space="preserve"> </w:t>
      </w:r>
      <w:r>
        <w:t>ON</w:t>
      </w:r>
      <w:r w:rsidRPr="0063555B">
        <w:t xml:space="preserve"> </w:t>
      </w:r>
      <w:r>
        <w:t>THE</w:t>
      </w:r>
      <w:r w:rsidRPr="0063555B">
        <w:t xml:space="preserve"> </w:t>
      </w:r>
      <w:r w:rsidRPr="0063555B">
        <w:rPr>
          <w:strike/>
        </w:rPr>
        <w:t>ACQUISITON</w:t>
      </w:r>
      <w:r>
        <w:rPr>
          <w:b/>
        </w:rPr>
        <w:t>[ACQUISITION]</w:t>
      </w:r>
      <w:r w:rsidRPr="0063555B">
        <w:t xml:space="preserve"> </w:t>
      </w:r>
      <w:r>
        <w:t>OF</w:t>
      </w:r>
      <w:r w:rsidRPr="0063555B">
        <w:t xml:space="preserve"> C</w:t>
      </w:r>
      <w:r>
        <w:t>OVERED</w:t>
      </w:r>
      <w:r w:rsidRPr="0063555B">
        <w:t xml:space="preserve"> D</w:t>
      </w:r>
      <w:r>
        <w:t>EFENSE</w:t>
      </w:r>
      <w:r w:rsidRPr="0063555B">
        <w:t xml:space="preserve"> T</w:t>
      </w:r>
      <w:r>
        <w:t>ELECOMMUNICATIONS</w:t>
      </w:r>
      <w:r w:rsidRPr="0063555B">
        <w:t xml:space="preserve"> E</w:t>
      </w:r>
      <w:r>
        <w:t>QUIPMENT</w:t>
      </w:r>
      <w:r w:rsidRPr="0063555B">
        <w:t xml:space="preserve"> </w:t>
      </w:r>
      <w:r>
        <w:t>OR</w:t>
      </w:r>
      <w:r w:rsidRPr="0063555B">
        <w:t xml:space="preserve"> S</w:t>
      </w:r>
      <w:r>
        <w:t>ERVICES</w:t>
      </w:r>
      <w:r w:rsidRPr="0063555B">
        <w:t>—R</w:t>
      </w:r>
      <w:r>
        <w:t>EPRESENTATION</w:t>
      </w:r>
      <w:r w:rsidRPr="0063555B">
        <w:t xml:space="preserve"> (</w:t>
      </w:r>
      <w:r w:rsidRPr="0063555B">
        <w:rPr>
          <w:strike/>
        </w:rPr>
        <w:t>DEC 2019</w:t>
      </w:r>
      <w:r>
        <w:rPr>
          <w:b/>
        </w:rPr>
        <w:t>[</w:t>
      </w:r>
      <w:r w:rsidR="00444787">
        <w:rPr>
          <w:b/>
        </w:rPr>
        <w:t>MAY 2021</w:t>
      </w:r>
      <w:bookmarkStart w:id="2" w:name="_GoBack"/>
      <w:bookmarkEnd w:id="2"/>
      <w:r>
        <w:rPr>
          <w:b/>
        </w:rPr>
        <w:t>]</w:t>
      </w:r>
      <w:r w:rsidRPr="0063555B">
        <w:t>)</w:t>
      </w:r>
    </w:p>
    <w:p w14:paraId="64333464" w14:textId="77777777" w:rsidR="0063555B" w:rsidRDefault="0063555B" w:rsidP="0063555B">
      <w:pPr>
        <w:pStyle w:val="DFARS"/>
      </w:pPr>
    </w:p>
    <w:p w14:paraId="1B6DCA5B" w14:textId="5E683976" w:rsidR="0063555B" w:rsidRDefault="0063555B" w:rsidP="0063555B">
      <w:pPr>
        <w:pStyle w:val="DFARS"/>
      </w:pPr>
      <w:r>
        <w:t>* * * * *</w:t>
      </w:r>
    </w:p>
    <w:p w14:paraId="5DF8B95B" w14:textId="5F714D84" w:rsidR="0063555B" w:rsidRDefault="0063555B" w:rsidP="0063555B">
      <w:pPr>
        <w:pStyle w:val="DFARS"/>
      </w:pPr>
    </w:p>
    <w:p w14:paraId="29EBD005" w14:textId="1B4D0554" w:rsidR="0063555B" w:rsidRPr="0063555B" w:rsidRDefault="0063555B" w:rsidP="0063555B">
      <w:pPr>
        <w:pStyle w:val="DFARS"/>
        <w:rPr>
          <w:b/>
        </w:rPr>
      </w:pPr>
      <w:r>
        <w:rPr>
          <w:b/>
        </w:rPr>
        <w:t xml:space="preserve">252.235-7003  Frequency </w:t>
      </w:r>
      <w:r w:rsidRPr="0063555B">
        <w:rPr>
          <w:b/>
          <w:strike/>
        </w:rPr>
        <w:t>a</w:t>
      </w:r>
      <w:r>
        <w:rPr>
          <w:b/>
        </w:rPr>
        <w:t>[A]</w:t>
      </w:r>
      <w:proofErr w:type="spellStart"/>
      <w:r>
        <w:rPr>
          <w:b/>
        </w:rPr>
        <w:t>uthorization</w:t>
      </w:r>
      <w:proofErr w:type="spellEnd"/>
      <w:r>
        <w:rPr>
          <w:b/>
        </w:rPr>
        <w:t>.</w:t>
      </w:r>
    </w:p>
    <w:p w14:paraId="5698223D" w14:textId="74D226D4" w:rsidR="0063555B" w:rsidRDefault="0063555B" w:rsidP="0063555B">
      <w:pPr>
        <w:pStyle w:val="DFARS"/>
      </w:pPr>
    </w:p>
    <w:p w14:paraId="25665082" w14:textId="77777777" w:rsidR="0063555B" w:rsidRDefault="0063555B" w:rsidP="0063555B">
      <w:pPr>
        <w:pStyle w:val="DFARS"/>
      </w:pPr>
      <w:r>
        <w:t>* * * * *</w:t>
      </w:r>
    </w:p>
    <w:p w14:paraId="612B569A" w14:textId="77777777" w:rsidR="00FE0C74" w:rsidRDefault="00FE0C74" w:rsidP="00FE0C74">
      <w:pPr>
        <w:pStyle w:val="DFARS"/>
      </w:pPr>
    </w:p>
    <w:p w14:paraId="56A647CE" w14:textId="77777777" w:rsidR="00FE0C74" w:rsidRDefault="00FE0C74" w:rsidP="00FE0C74">
      <w:pPr>
        <w:pStyle w:val="DFARS"/>
        <w:rPr>
          <w:b/>
        </w:rPr>
      </w:pPr>
      <w:r>
        <w:rPr>
          <w:b/>
        </w:rPr>
        <w:t>PART 253—FORMS</w:t>
      </w:r>
    </w:p>
    <w:p w14:paraId="441D9F53" w14:textId="77777777" w:rsidR="00FE0C74" w:rsidRDefault="00FE0C74" w:rsidP="00FE0C74">
      <w:pPr>
        <w:pStyle w:val="DFARS"/>
        <w:rPr>
          <w:b/>
        </w:rPr>
      </w:pPr>
    </w:p>
    <w:p w14:paraId="3F7605CC" w14:textId="77777777" w:rsidR="00FE0C74" w:rsidRDefault="00FE0C74" w:rsidP="00FE0C74">
      <w:pPr>
        <w:pStyle w:val="DFARS"/>
        <w:rPr>
          <w:b/>
        </w:rPr>
      </w:pPr>
      <w:r>
        <w:rPr>
          <w:b/>
        </w:rPr>
        <w:t>* * * * *</w:t>
      </w:r>
    </w:p>
    <w:p w14:paraId="2DC94A5D" w14:textId="77777777" w:rsidR="00FE0C74" w:rsidRDefault="00FE0C74" w:rsidP="00FE0C74">
      <w:pPr>
        <w:pStyle w:val="DFARS"/>
        <w:rPr>
          <w:b/>
        </w:rPr>
      </w:pPr>
    </w:p>
    <w:p w14:paraId="1E3690CD" w14:textId="77777777" w:rsidR="00FE0C74" w:rsidRDefault="00FE0C74" w:rsidP="00FE0C74">
      <w:pPr>
        <w:pStyle w:val="DFARS"/>
        <w:jc w:val="center"/>
        <w:rPr>
          <w:b/>
        </w:rPr>
      </w:pPr>
      <w:r>
        <w:rPr>
          <w:b/>
        </w:rPr>
        <w:t>SUBPART 253.3—ILLUSTRATION OF FORMS</w:t>
      </w:r>
    </w:p>
    <w:p w14:paraId="2E5DD919" w14:textId="77777777" w:rsidR="00FE0C74" w:rsidRDefault="00FE0C74" w:rsidP="00FE0C74">
      <w:pPr>
        <w:pStyle w:val="DFARS"/>
        <w:rPr>
          <w:b/>
        </w:rPr>
      </w:pPr>
    </w:p>
    <w:p w14:paraId="615E58A4" w14:textId="77777777" w:rsidR="00FE0C74" w:rsidRDefault="00FE0C74" w:rsidP="00FE0C74">
      <w:pPr>
        <w:pStyle w:val="DFARS"/>
        <w:rPr>
          <w:b/>
        </w:rPr>
      </w:pPr>
      <w:r>
        <w:rPr>
          <w:b/>
        </w:rPr>
        <w:t>253.303  Agency forms.</w:t>
      </w:r>
    </w:p>
    <w:p w14:paraId="7B7B6D22" w14:textId="77777777" w:rsidR="0063555B" w:rsidRDefault="0063555B" w:rsidP="0063555B">
      <w:pPr>
        <w:pStyle w:val="DFARS"/>
      </w:pPr>
    </w:p>
    <w:p w14:paraId="49169E39" w14:textId="062E9CA6" w:rsidR="00FE0C74" w:rsidRDefault="00FE0C74" w:rsidP="00D93CA1">
      <w:pPr>
        <w:pStyle w:val="DFARS"/>
        <w:rPr>
          <w:i/>
          <w:iCs/>
        </w:rPr>
      </w:pPr>
      <w:r w:rsidRPr="00FE0C74">
        <w:t>DoD forms are available at</w:t>
      </w:r>
      <w:r>
        <w:t xml:space="preserve"> </w:t>
      </w:r>
      <w:r w:rsidRPr="000843E2">
        <w:rPr>
          <w:i/>
          <w:iCs/>
          <w:strike/>
        </w:rPr>
        <w:t>http://www.dtic.mil/whs/directives/infomgt/forms/formsprogram.htm</w:t>
      </w:r>
      <w:r w:rsidR="000843E2">
        <w:rPr>
          <w:i/>
          <w:iCs/>
          <w:strike/>
        </w:rPr>
        <w:t xml:space="preserve"> </w:t>
      </w:r>
      <w:r w:rsidR="000843E2" w:rsidRPr="000843E2">
        <w:rPr>
          <w:b/>
          <w:bCs/>
        </w:rPr>
        <w:t>[</w:t>
      </w:r>
      <w:r w:rsidR="000843E2" w:rsidRPr="000843E2">
        <w:rPr>
          <w:b/>
          <w:bCs/>
          <w:i/>
          <w:iCs/>
        </w:rPr>
        <w:t>https://www.esd.whs.mil/Directives/forms/</w:t>
      </w:r>
      <w:r w:rsidR="000843E2" w:rsidRPr="000843E2">
        <w:rPr>
          <w:b/>
          <w:bCs/>
        </w:rPr>
        <w:t>]</w:t>
      </w:r>
      <w:r w:rsidRPr="000843E2">
        <w:rPr>
          <w:i/>
          <w:iCs/>
        </w:rPr>
        <w:t>.</w:t>
      </w:r>
    </w:p>
    <w:p w14:paraId="4956A8E5" w14:textId="5E45D74A" w:rsidR="009A3076" w:rsidRDefault="009A3076" w:rsidP="00D93CA1">
      <w:pPr>
        <w:pStyle w:val="DFARS"/>
      </w:pPr>
    </w:p>
    <w:sectPr w:rsidR="009A3076" w:rsidSect="00304A6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1BAE1" w14:textId="77777777" w:rsidR="00614949" w:rsidRDefault="00614949" w:rsidP="00FA5AE1">
      <w:pPr>
        <w:spacing w:after="0" w:line="240" w:lineRule="auto"/>
      </w:pPr>
      <w:r>
        <w:separator/>
      </w:r>
    </w:p>
  </w:endnote>
  <w:endnote w:type="continuationSeparator" w:id="0">
    <w:p w14:paraId="2D7D3F3C" w14:textId="77777777" w:rsidR="00614949" w:rsidRDefault="00614949"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1A2AA" w14:textId="3756CBB2" w:rsidR="00313FF2" w:rsidRPr="001D3438" w:rsidRDefault="00444787" w:rsidP="00313FF2">
    <w:pPr>
      <w:pStyle w:val="Footer"/>
      <w:rPr>
        <w:rFonts w:ascii="Century Schoolbook" w:hAnsi="Century Schoolbook"/>
        <w:sz w:val="24"/>
        <w:szCs w:val="24"/>
      </w:rPr>
    </w:pPr>
    <w:sdt>
      <w:sdtPr>
        <w:rPr>
          <w:sz w:val="24"/>
          <w:szCs w:val="24"/>
        </w:rPr>
        <w:id w:val="1875731787"/>
        <w:docPartObj>
          <w:docPartGallery w:val="Page Numbers (Bottom of Page)"/>
          <w:docPartUnique/>
        </w:docPartObj>
      </w:sdtPr>
      <w:sdtEndPr>
        <w:rPr>
          <w:rFonts w:ascii="Century Schoolbook" w:hAnsi="Century Schoolbook"/>
        </w:rPr>
      </w:sdtEndPr>
      <w:sdtContent>
        <w:sdt>
          <w:sdtPr>
            <w:rPr>
              <w:sz w:val="24"/>
              <w:szCs w:val="24"/>
            </w:rPr>
            <w:id w:val="-1669238322"/>
            <w:docPartObj>
              <w:docPartGallery w:val="Page Numbers (Top of Page)"/>
              <w:docPartUnique/>
            </w:docPartObj>
          </w:sdtPr>
          <w:sdtEndPr>
            <w:rPr>
              <w:rFonts w:ascii="Century Schoolbook" w:hAnsi="Century Schoolbook"/>
            </w:rPr>
          </w:sdtEndPr>
          <w:sdtContent>
            <w:r w:rsidR="00C845D0" w:rsidRPr="001D3438">
              <w:rPr>
                <w:sz w:val="24"/>
                <w:szCs w:val="24"/>
              </w:rPr>
              <w:tab/>
            </w:r>
            <w:r w:rsidR="00E076D0" w:rsidRPr="001D3438">
              <w:rPr>
                <w:rFonts w:ascii="Century Schoolbook" w:hAnsi="Century Schoolbook"/>
                <w:sz w:val="24"/>
                <w:szCs w:val="24"/>
              </w:rPr>
              <w:t xml:space="preserve">Page </w:t>
            </w:r>
            <w:r w:rsidR="00E076D0" w:rsidRPr="001D3438">
              <w:rPr>
                <w:rFonts w:ascii="Century Schoolbook" w:hAnsi="Century Schoolbook"/>
                <w:sz w:val="24"/>
                <w:szCs w:val="24"/>
              </w:rPr>
              <w:fldChar w:fldCharType="begin"/>
            </w:r>
            <w:r w:rsidR="00E076D0" w:rsidRPr="001D3438">
              <w:rPr>
                <w:rFonts w:ascii="Century Schoolbook" w:hAnsi="Century Schoolbook"/>
                <w:sz w:val="24"/>
                <w:szCs w:val="24"/>
              </w:rPr>
              <w:instrText xml:space="preserve"> PAGE  \* Arabic  \* MERGEFORMAT </w:instrText>
            </w:r>
            <w:r w:rsidR="00E076D0" w:rsidRPr="001D3438">
              <w:rPr>
                <w:rFonts w:ascii="Century Schoolbook" w:hAnsi="Century Schoolbook"/>
                <w:sz w:val="24"/>
                <w:szCs w:val="24"/>
              </w:rPr>
              <w:fldChar w:fldCharType="separate"/>
            </w:r>
            <w:r>
              <w:rPr>
                <w:rFonts w:ascii="Century Schoolbook" w:hAnsi="Century Schoolbook"/>
                <w:noProof/>
                <w:sz w:val="24"/>
                <w:szCs w:val="24"/>
              </w:rPr>
              <w:t>3</w:t>
            </w:r>
            <w:r w:rsidR="00E076D0" w:rsidRPr="001D3438">
              <w:rPr>
                <w:rFonts w:ascii="Century Schoolbook" w:hAnsi="Century Schoolbook"/>
                <w:sz w:val="24"/>
                <w:szCs w:val="24"/>
              </w:rPr>
              <w:fldChar w:fldCharType="end"/>
            </w:r>
            <w:r w:rsidR="00E076D0" w:rsidRPr="001D3438">
              <w:rPr>
                <w:rFonts w:ascii="Century Schoolbook" w:hAnsi="Century Schoolbook"/>
                <w:sz w:val="24"/>
                <w:szCs w:val="24"/>
              </w:rPr>
              <w:t xml:space="preserve"> of </w:t>
            </w:r>
            <w:r w:rsidR="00E076D0" w:rsidRPr="001D3438">
              <w:rPr>
                <w:rFonts w:ascii="Century Schoolbook" w:hAnsi="Century Schoolbook"/>
                <w:sz w:val="24"/>
                <w:szCs w:val="24"/>
              </w:rPr>
              <w:fldChar w:fldCharType="begin"/>
            </w:r>
            <w:r w:rsidR="00E076D0" w:rsidRPr="001D3438">
              <w:rPr>
                <w:rFonts w:ascii="Century Schoolbook" w:hAnsi="Century Schoolbook"/>
                <w:sz w:val="24"/>
                <w:szCs w:val="24"/>
              </w:rPr>
              <w:instrText xml:space="preserve"> NUMPAGES  \* Arabic  \* MERGEFORMAT </w:instrText>
            </w:r>
            <w:r w:rsidR="00E076D0" w:rsidRPr="001D3438">
              <w:rPr>
                <w:rFonts w:ascii="Century Schoolbook" w:hAnsi="Century Schoolbook"/>
                <w:sz w:val="24"/>
                <w:szCs w:val="24"/>
              </w:rPr>
              <w:fldChar w:fldCharType="separate"/>
            </w:r>
            <w:r>
              <w:rPr>
                <w:rFonts w:ascii="Century Schoolbook" w:hAnsi="Century Schoolbook"/>
                <w:noProof/>
                <w:sz w:val="24"/>
                <w:szCs w:val="24"/>
              </w:rPr>
              <w:t>4</w:t>
            </w:r>
            <w:r w:rsidR="00E076D0" w:rsidRPr="001D3438">
              <w:rPr>
                <w:rFonts w:ascii="Century Schoolbook" w:hAnsi="Century Schoolbook"/>
                <w:sz w:val="24"/>
                <w:szCs w:val="24"/>
              </w:rPr>
              <w:fldChar w:fldCharType="end"/>
            </w:r>
            <w:r w:rsidR="00C845D0" w:rsidRPr="001D3438">
              <w:rPr>
                <w:b/>
                <w:sz w:val="24"/>
                <w:szCs w:val="24"/>
              </w:rPr>
              <w:tab/>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9669E" w14:textId="77777777" w:rsidR="00614949" w:rsidRDefault="00614949" w:rsidP="00FA5AE1">
      <w:pPr>
        <w:spacing w:after="0" w:line="240" w:lineRule="auto"/>
      </w:pPr>
      <w:r>
        <w:separator/>
      </w:r>
    </w:p>
  </w:footnote>
  <w:footnote w:type="continuationSeparator" w:id="0">
    <w:p w14:paraId="1DEBA2BB" w14:textId="77777777" w:rsidR="00614949" w:rsidRDefault="00614949"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4D27"/>
    <w:rsid w:val="00016087"/>
    <w:rsid w:val="00025081"/>
    <w:rsid w:val="00026695"/>
    <w:rsid w:val="000348B0"/>
    <w:rsid w:val="00044AF4"/>
    <w:rsid w:val="00044ECF"/>
    <w:rsid w:val="00045F7A"/>
    <w:rsid w:val="00055922"/>
    <w:rsid w:val="000676B0"/>
    <w:rsid w:val="000759E0"/>
    <w:rsid w:val="000843E2"/>
    <w:rsid w:val="000A5A8F"/>
    <w:rsid w:val="000B09E4"/>
    <w:rsid w:val="000B1EE7"/>
    <w:rsid w:val="000B4440"/>
    <w:rsid w:val="000B63E6"/>
    <w:rsid w:val="000B7CD0"/>
    <w:rsid w:val="000D3943"/>
    <w:rsid w:val="000E229F"/>
    <w:rsid w:val="000F4D89"/>
    <w:rsid w:val="00105123"/>
    <w:rsid w:val="001217A2"/>
    <w:rsid w:val="0012471F"/>
    <w:rsid w:val="00136DF2"/>
    <w:rsid w:val="00137D35"/>
    <w:rsid w:val="001518EF"/>
    <w:rsid w:val="00156807"/>
    <w:rsid w:val="00167E7E"/>
    <w:rsid w:val="00182C31"/>
    <w:rsid w:val="00185570"/>
    <w:rsid w:val="00192F17"/>
    <w:rsid w:val="00197F9B"/>
    <w:rsid w:val="001A26C8"/>
    <w:rsid w:val="001B0795"/>
    <w:rsid w:val="001C313C"/>
    <w:rsid w:val="001D3438"/>
    <w:rsid w:val="001D3B4A"/>
    <w:rsid w:val="001E057C"/>
    <w:rsid w:val="001F4373"/>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67"/>
    <w:rsid w:val="00304AD5"/>
    <w:rsid w:val="00313FF2"/>
    <w:rsid w:val="00314E20"/>
    <w:rsid w:val="003650DE"/>
    <w:rsid w:val="00365E5A"/>
    <w:rsid w:val="0037744F"/>
    <w:rsid w:val="003812B4"/>
    <w:rsid w:val="003834D0"/>
    <w:rsid w:val="00395A2F"/>
    <w:rsid w:val="003A451B"/>
    <w:rsid w:val="003B4BC5"/>
    <w:rsid w:val="003C1444"/>
    <w:rsid w:val="003D2813"/>
    <w:rsid w:val="003D5721"/>
    <w:rsid w:val="003D6FF3"/>
    <w:rsid w:val="003F1385"/>
    <w:rsid w:val="00401EED"/>
    <w:rsid w:val="004270E8"/>
    <w:rsid w:val="00444787"/>
    <w:rsid w:val="0045372B"/>
    <w:rsid w:val="00453ED5"/>
    <w:rsid w:val="004648B2"/>
    <w:rsid w:val="004743C1"/>
    <w:rsid w:val="00496CF4"/>
    <w:rsid w:val="00496F28"/>
    <w:rsid w:val="004A23EC"/>
    <w:rsid w:val="004B4AB9"/>
    <w:rsid w:val="004B748F"/>
    <w:rsid w:val="004C6985"/>
    <w:rsid w:val="004D38F3"/>
    <w:rsid w:val="004E123B"/>
    <w:rsid w:val="004E71B0"/>
    <w:rsid w:val="004F0A06"/>
    <w:rsid w:val="00505D55"/>
    <w:rsid w:val="005130DA"/>
    <w:rsid w:val="00525F25"/>
    <w:rsid w:val="00531CEF"/>
    <w:rsid w:val="00541461"/>
    <w:rsid w:val="00546CA2"/>
    <w:rsid w:val="00551BA6"/>
    <w:rsid w:val="005716E4"/>
    <w:rsid w:val="00592BC3"/>
    <w:rsid w:val="005A214A"/>
    <w:rsid w:val="005B18F0"/>
    <w:rsid w:val="005B481E"/>
    <w:rsid w:val="005C0FFD"/>
    <w:rsid w:val="005C29FF"/>
    <w:rsid w:val="005E108F"/>
    <w:rsid w:val="005E751F"/>
    <w:rsid w:val="005F00A3"/>
    <w:rsid w:val="005F2CD0"/>
    <w:rsid w:val="005F4473"/>
    <w:rsid w:val="00614949"/>
    <w:rsid w:val="00617257"/>
    <w:rsid w:val="00624E57"/>
    <w:rsid w:val="0063406A"/>
    <w:rsid w:val="0063555B"/>
    <w:rsid w:val="00645BF7"/>
    <w:rsid w:val="00646B30"/>
    <w:rsid w:val="00663FDA"/>
    <w:rsid w:val="006810D0"/>
    <w:rsid w:val="00682E42"/>
    <w:rsid w:val="006C0656"/>
    <w:rsid w:val="006C2F1B"/>
    <w:rsid w:val="006D3798"/>
    <w:rsid w:val="006F02A3"/>
    <w:rsid w:val="0070422A"/>
    <w:rsid w:val="007062BD"/>
    <w:rsid w:val="0070697C"/>
    <w:rsid w:val="00727E8F"/>
    <w:rsid w:val="007320C7"/>
    <w:rsid w:val="00737F5F"/>
    <w:rsid w:val="007526CA"/>
    <w:rsid w:val="00760305"/>
    <w:rsid w:val="007629FE"/>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A3076"/>
    <w:rsid w:val="009C152C"/>
    <w:rsid w:val="009D552B"/>
    <w:rsid w:val="009E7AE3"/>
    <w:rsid w:val="009F0949"/>
    <w:rsid w:val="009F4FD9"/>
    <w:rsid w:val="00A06036"/>
    <w:rsid w:val="00A165B4"/>
    <w:rsid w:val="00A16FDE"/>
    <w:rsid w:val="00A3134B"/>
    <w:rsid w:val="00A34A97"/>
    <w:rsid w:val="00A358F1"/>
    <w:rsid w:val="00A53637"/>
    <w:rsid w:val="00A5442F"/>
    <w:rsid w:val="00A57FE9"/>
    <w:rsid w:val="00A80541"/>
    <w:rsid w:val="00A86C60"/>
    <w:rsid w:val="00AA101C"/>
    <w:rsid w:val="00AA1B45"/>
    <w:rsid w:val="00AA68B7"/>
    <w:rsid w:val="00AC228E"/>
    <w:rsid w:val="00AC5F17"/>
    <w:rsid w:val="00AE715E"/>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6A6A"/>
    <w:rsid w:val="00CB776D"/>
    <w:rsid w:val="00CE4191"/>
    <w:rsid w:val="00CF0089"/>
    <w:rsid w:val="00CF1A74"/>
    <w:rsid w:val="00CF754A"/>
    <w:rsid w:val="00D067AE"/>
    <w:rsid w:val="00D20847"/>
    <w:rsid w:val="00D225F8"/>
    <w:rsid w:val="00D34554"/>
    <w:rsid w:val="00D427DF"/>
    <w:rsid w:val="00D458FC"/>
    <w:rsid w:val="00D46941"/>
    <w:rsid w:val="00D53312"/>
    <w:rsid w:val="00D55651"/>
    <w:rsid w:val="00D558E8"/>
    <w:rsid w:val="00D6479F"/>
    <w:rsid w:val="00D93CA1"/>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23B2"/>
    <w:rsid w:val="00E6362E"/>
    <w:rsid w:val="00E64C10"/>
    <w:rsid w:val="00E66181"/>
    <w:rsid w:val="00E75FE0"/>
    <w:rsid w:val="00E8155F"/>
    <w:rsid w:val="00E87260"/>
    <w:rsid w:val="00E95AE1"/>
    <w:rsid w:val="00E96BB0"/>
    <w:rsid w:val="00E97DF6"/>
    <w:rsid w:val="00EA01B4"/>
    <w:rsid w:val="00EB7B15"/>
    <w:rsid w:val="00EF6470"/>
    <w:rsid w:val="00F009E5"/>
    <w:rsid w:val="00F02CBA"/>
    <w:rsid w:val="00F2207E"/>
    <w:rsid w:val="00F234F1"/>
    <w:rsid w:val="00F523DE"/>
    <w:rsid w:val="00F6391E"/>
    <w:rsid w:val="00F74B72"/>
    <w:rsid w:val="00F756C9"/>
    <w:rsid w:val="00F83516"/>
    <w:rsid w:val="00F91B2C"/>
    <w:rsid w:val="00F93906"/>
    <w:rsid w:val="00F95B21"/>
    <w:rsid w:val="00FA2453"/>
    <w:rsid w:val="00FA5AE1"/>
    <w:rsid w:val="00FC130A"/>
    <w:rsid w:val="00FC22FF"/>
    <w:rsid w:val="00FC26F8"/>
    <w:rsid w:val="00FE0165"/>
    <w:rsid w:val="00FE0C74"/>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C58B"/>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table" w:styleId="TableGrid">
    <w:name w:val="Table Grid"/>
    <w:basedOn w:val="TableNormal"/>
    <w:uiPriority w:val="59"/>
    <w:rsid w:val="00E96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23EC"/>
    <w:pPr>
      <w:spacing w:after="0" w:line="240" w:lineRule="auto"/>
    </w:pPr>
  </w:style>
  <w:style w:type="character" w:styleId="FollowedHyperlink">
    <w:name w:val="FollowedHyperlink"/>
    <w:basedOn w:val="DefaultParagraphFont"/>
    <w:uiPriority w:val="99"/>
    <w:semiHidden/>
    <w:unhideWhenUsed/>
    <w:rsid w:val="00CB6A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229DA-81BC-4DE2-9D6A-513A74A6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Marylee Renna</dc:creator>
  <cp:lastModifiedBy>Johnson, Jennifer D CIV OSD OUSD A-S (USA)</cp:lastModifiedBy>
  <cp:revision>8</cp:revision>
  <cp:lastPrinted>2016-03-23T15:08:00Z</cp:lastPrinted>
  <dcterms:created xsi:type="dcterms:W3CDTF">2021-05-12T13:58:00Z</dcterms:created>
  <dcterms:modified xsi:type="dcterms:W3CDTF">2021-05-14T19:53:00Z</dcterms:modified>
</cp:coreProperties>
</file>