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**ID__DLAD_7_102__ID**</w:t>
      </w:r>
    </w:p>
    <w:p>
      <w:pPr>
        <w:pStyle w:val="Heading3"/>
        <w:spacing w:after="199"/>
        <w:ind w:left="120"/>
        <w:jc w:val="left"/>
      </w:pPr>
      <w:r>
        <w:rPr>
          <w:rFonts w:ascii="Times New Roman" w:hAnsi="Times New Roman"/>
          <w:color w:val="000000"/>
          <w:sz w:val="31"/>
        </w:rPr>
        <w:t>7.102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pPr>
        <w:pBdr>
          <w:top w:space="5"/>
          <w:left w:space="5"/>
          <w:bottom w:space="5"/>
          <w:right w:space="5"/>
        </w:pBdr>
        <w:spacing w:after="0"/>
        <w:ind w:left="585"/>
        <w:jc w:val="left"/>
      </w:pPr>
      <w:r>
        <w:rPr>
          <w:rFonts w:ascii="Times New Roman" w:hAnsi="Times New Roman"/>
          <w:b w:val="false"/>
          <w:i w:val="false"/>
          <w:color w:val="000000"/>
          <w:sz w:val="22"/>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pPr>
        <w:pBdr>
          <w:top w:space="5"/>
          <w:left w:space="5"/>
          <w:bottom w:space="5"/>
          <w:right w:space="5"/>
        </w:pBdr>
        <w:spacing w:after="0"/>
        <w:ind w:left="585"/>
        <w:jc w:val="left"/>
      </w:pPr>
      <w:r>
        <w:rPr>
          <w:rFonts w:ascii="Times New Roman" w:hAnsi="Times New Roman"/>
          <w:b w:val="false"/>
          <w:i w:val="false"/>
          <w:color w:val="000000"/>
          <w:sz w:val="22"/>
        </w:rPr>
        <w:t>(2) A modification of the contract.</w:t>
      </w:r>
    </w:p>
    <w:p>
      <w:pPr>
        <w:pBdr>
          <w:top w:space="5"/>
          <w:left w:space="5"/>
          <w:bottom w:space="5"/>
          <w:right w:space="5"/>
        </w:pBdr>
        <w:spacing w:after="0"/>
        <w:ind w:left="585"/>
        <w:jc w:val="left"/>
      </w:pPr>
      <w:r>
        <w:rPr>
          <w:rFonts w:ascii="Times New Roman" w:hAnsi="Times New Roman"/>
          <w:b w:val="false"/>
          <w:i w:val="false"/>
          <w:color w:val="000000"/>
          <w:sz w:val="22"/>
        </w:rPr>
        <w:t>(3) Acquisition of replenishment parts, below DFARS 207.103 thresholds (where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Acquisition plans shall be completed and approved prior to solicitation issuance. The clearance authority levels in DLAD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1.690-1</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(c) For urgent requirements, the HCA is authorized to waive the requirement for approval prior to solicitation issuance.</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The level of detail provided in the acquisition plan should be commensurate with the complexity and dollar value of the acquisition.</w:t>
      </w:r>
    </w:p>
    <w:p>
      <w:pPr>
        <w:pBdr>
          <w:top w:space="5"/>
          <w:left w:space="5"/>
          <w:bottom w:space="5"/>
          <w:right w:space="5"/>
        </w:pBdr>
        <w:spacing w:after="0"/>
        <w:ind w:left="585"/>
        <w:jc w:val="left"/>
      </w:pPr>
      <w:r>
        <w:rPr>
          <w:rFonts w:ascii="Times New Roman" w:hAnsi="Times New Roman"/>
          <w:b w:val="false"/>
          <w:i w:val="false"/>
          <w:color w:val="000000"/>
          <w:sz w:val="22"/>
        </w:rPr>
        <w:t>(1) The acquisition plan shall accompany justifications for other than full and open competition (see FAR 6.301 and FAR 6.304) when submitted to the procuring organization competition advocate (COMPAD). Procuring organization COMPADs shall also be provided a copy of the acquisition plan for acquisitions with a history of only one offer received and with no expectation of price competition.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690-1.dita#DLAD_1_690-1"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