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**ID__DLAD_7_204__ID**</w:t>
      </w:r>
    </w:p>
    <w:p>
      <w:pPr>
        <w:pStyle w:val="Heading3"/>
        <w:spacing w:after="199"/>
        <w:ind w:left="120"/>
        <w:jc w:val="left"/>
      </w:pPr>
      <w:r>
        <w:rPr>
          <w:rFonts w:ascii="Times New Roman" w:hAnsi="Times New Roman"/>
          <w:color w:val="000000"/>
          <w:sz w:val="31"/>
        </w:rPr>
        <w:t>7.204</w:t>
      </w:r>
      <w:r>
        <w:rPr>
          <w:rFonts w:ascii="Times New Roman" w:hAnsi="Times New Roman"/>
          <w:color w:val="000000"/>
          <w:sz w:val="31"/>
        </w:rPr>
        <w:t xml:space="preserve"> Responsibilities of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