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**ID__DLAD_9_100-90__ID**</w:t>
      </w:r>
    </w:p>
    <w:p>
      <w:pPr>
        <w:pStyle w:val="Heading3"/>
        <w:spacing w:after="199"/>
        <w:ind w:left="120"/>
        <w:jc w:val="left"/>
      </w:pPr>
      <w:r>
        <w:rPr>
          <w:rFonts w:ascii="Times New Roman" w:hAnsi="Times New Roman"/>
          <w:color w:val="000000"/>
          <w:sz w:val="31"/>
        </w:rPr>
        <w:t>9.100-90</w:t>
      </w:r>
      <w:r>
        <w:rPr>
          <w:rFonts w:ascii="Times New Roman" w:hAnsi="Times New Roman"/>
          <w:color w:val="000000"/>
          <w:sz w:val="31"/>
        </w:rPr>
        <w:t xml:space="preserve"> Business Decision Analytics (BDA) dashboard.</w:t>
      </w:r>
    </w:p>
    <w:p>
      <w:pPr>
        <w:pBdr>
          <w:top w:space="5"/>
          <w:left w:space="5"/>
          <w:bottom w:space="5"/>
          <w:right w:space="5"/>
        </w:pBdr>
        <w:spacing w:after="0"/>
        <w:ind w:left="225"/>
        <w:jc w:val="left"/>
      </w:pPr>
      <w:r>
        <w:rPr>
          <w:rFonts w:ascii="Times New Roman" w:hAnsi="Times New Roman"/>
          <w:b w:val="false"/>
          <w:i w:val="false"/>
          <w:color w:val="000000"/>
          <w:sz w:val="22"/>
        </w:rPr>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w:pPr>
        <w:pBdr>
          <w:top w:space="5"/>
          <w:left w:space="5"/>
          <w:bottom w:space="5"/>
          <w:right w:space="5"/>
        </w:pBdr>
        <w:spacing w:after="0"/>
        <w:ind w:left="225"/>
        <w:jc w:val="left"/>
      </w:pPr>
      <w:r>
        <w:rPr>
          <w:rFonts w:ascii="Times New Roman" w:hAnsi="Times New Roman"/>
          <w:b w:val="false"/>
          <w:i w:val="false"/>
          <w:color w:val="000000"/>
          <w:sz w:val="22"/>
        </w:rPr>
        <w:t>(b)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w:pPr>
        <w:pBdr>
          <w:top w:space="5"/>
          <w:left w:space="5"/>
          <w:bottom w:space="5"/>
          <w:right w:space="5"/>
        </w:pBdr>
        <w:spacing w:after="0"/>
        <w:ind w:left="225"/>
        <w:jc w:val="left"/>
      </w:pPr>
      <w:r>
        <w:rPr>
          <w:rFonts w:ascii="Times New Roman" w:hAnsi="Times New Roman"/>
          <w:b w:val="false"/>
          <w:i w:val="false"/>
          <w:color w:val="000000"/>
          <w:sz w:val="22"/>
        </w:rPr>
        <w:t>(c) Conditions when contracting officers should consider using the BDA dashboard include, but are not limited to—</w:t>
      </w:r>
    </w:p>
    <w:p>
      <w:pPr>
        <w:pBdr>
          <w:top w:space="5"/>
          <w:left w:space="5"/>
          <w:bottom w:space="5"/>
          <w:right w:space="5"/>
        </w:pBdr>
        <w:spacing w:after="0"/>
        <w:ind w:left="585"/>
        <w:jc w:val="left"/>
      </w:pPr>
      <w:r>
        <w:rPr>
          <w:rFonts w:ascii="Times New Roman" w:hAnsi="Times New Roman"/>
          <w:b w:val="false"/>
          <w:i w:val="false"/>
          <w:color w:val="000000"/>
          <w:sz w:val="22"/>
        </w:rPr>
        <w:t>(1) First time buys;</w:t>
      </w:r>
    </w:p>
    <w:p>
      <w:pPr>
        <w:pBdr>
          <w:top w:space="5"/>
          <w:left w:space="5"/>
          <w:bottom w:space="5"/>
          <w:right w:space="5"/>
        </w:pBdr>
        <w:spacing w:after="0"/>
        <w:ind w:left="585"/>
        <w:jc w:val="left"/>
      </w:pPr>
      <w:r>
        <w:rPr>
          <w:rFonts w:ascii="Times New Roman" w:hAnsi="Times New Roman"/>
          <w:b w:val="false"/>
          <w:i w:val="false"/>
          <w:color w:val="000000"/>
          <w:sz w:val="22"/>
        </w:rPr>
        <w:t>(2) Long time between procurements;</w:t>
      </w:r>
    </w:p>
    <w:p>
      <w:pPr>
        <w:pBdr>
          <w:top w:space="5"/>
          <w:left w:space="5"/>
          <w:bottom w:space="5"/>
          <w:right w:space="5"/>
        </w:pBdr>
        <w:spacing w:after="0"/>
        <w:ind w:left="585"/>
        <w:jc w:val="left"/>
      </w:pPr>
      <w:r>
        <w:rPr>
          <w:rFonts w:ascii="Times New Roman" w:hAnsi="Times New Roman"/>
          <w:b w:val="false"/>
          <w:i w:val="false"/>
          <w:color w:val="000000"/>
          <w:sz w:val="22"/>
        </w:rPr>
        <w:t>(3) Critical items;</w:t>
      </w:r>
    </w:p>
    <w:p>
      <w:pPr>
        <w:pBdr>
          <w:top w:space="5"/>
          <w:left w:space="5"/>
          <w:bottom w:space="5"/>
          <w:right w:space="5"/>
        </w:pBdr>
        <w:spacing w:after="0"/>
        <w:ind w:left="585"/>
        <w:jc w:val="left"/>
      </w:pPr>
      <w:r>
        <w:rPr>
          <w:rFonts w:ascii="Times New Roman" w:hAnsi="Times New Roman"/>
          <w:b w:val="false"/>
          <w:i w:val="false"/>
          <w:color w:val="000000"/>
          <w:sz w:val="22"/>
        </w:rPr>
        <w:t>(4) First article;</w:t>
      </w:r>
    </w:p>
    <w:p>
      <w:pPr>
        <w:pBdr>
          <w:top w:space="5"/>
          <w:left w:space="5"/>
          <w:bottom w:space="5"/>
          <w:right w:space="5"/>
        </w:pBdr>
        <w:spacing w:after="0"/>
        <w:ind w:left="585"/>
        <w:jc w:val="left"/>
      </w:pPr>
      <w:r>
        <w:rPr>
          <w:rFonts w:ascii="Times New Roman" w:hAnsi="Times New Roman"/>
          <w:b w:val="false"/>
          <w:i w:val="false"/>
          <w:color w:val="000000"/>
          <w:sz w:val="22"/>
        </w:rPr>
        <w:t>(5) Cases when prices have drastically increased;</w:t>
      </w:r>
    </w:p>
    <w:p>
      <w:pPr>
        <w:pBdr>
          <w:top w:space="5"/>
          <w:left w:space="5"/>
          <w:bottom w:space="5"/>
          <w:right w:space="5"/>
        </w:pBdr>
        <w:spacing w:after="0"/>
        <w:ind w:left="585"/>
        <w:jc w:val="left"/>
      </w:pPr>
      <w:r>
        <w:rPr>
          <w:rFonts w:ascii="Times New Roman" w:hAnsi="Times New Roman"/>
          <w:b w:val="false"/>
          <w:i w:val="false"/>
          <w:color w:val="000000"/>
          <w:sz w:val="22"/>
        </w:rPr>
        <w:t>(6) New suppliers; and/or</w:t>
      </w:r>
    </w:p>
    <w:p>
      <w:pPr>
        <w:pBdr>
          <w:top w:space="5"/>
          <w:left w:space="5"/>
          <w:bottom w:space="5"/>
          <w:right w:space="5"/>
        </w:pBdr>
        <w:spacing w:after="0"/>
        <w:ind w:left="585"/>
        <w:jc w:val="left"/>
      </w:pPr>
      <w:r>
        <w:rPr>
          <w:rFonts w:ascii="Times New Roman" w:hAnsi="Times New Roman"/>
          <w:b w:val="false"/>
          <w:i w:val="false"/>
          <w:color w:val="000000"/>
          <w:sz w:val="22"/>
        </w:rPr>
        <w:t>(7) Suspect suppliers.</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notify Office of Counsel (Procurement Fraud) and the DCRL Monitor of any suspect product or supplier activity for possible inclusion on the DCRL.</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shall document the contract file in Records Management.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