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**ID__DLAD_9_105-1__ID**</w:t>
      </w:r>
    </w:p>
    <w:p>
      <w:pPr>
        <w:pStyle w:val="Heading3"/>
        <w:spacing w:after="199"/>
        <w:ind w:left="120"/>
        <w:jc w:val="left"/>
      </w:pPr>
      <w:r>
        <w:rPr>
          <w:rFonts w:ascii="Times New Roman" w:hAnsi="Times New Roman"/>
          <w:color w:val="000000"/>
          <w:sz w:val="31"/>
        </w:rPr>
        <w:t>9.105-1</w:t>
      </w:r>
      <w:r>
        <w:rPr>
          <w:rFonts w:ascii="Times New Roman" w:hAnsi="Times New Roman"/>
          <w:color w:val="000000"/>
          <w:sz w:val="31"/>
        </w:rPr>
        <w:t xml:space="preserve"> Obtaining information.</w:t>
      </w:r>
    </w:p>
    <w:p>
      <w:pPr>
        <w:pStyle w:val="Normal"/>
        <w:pBdr>
          <w:top w:space="5"/>
          <w:left w:space="5"/>
          <w:bottom w:space="5"/>
          <w:right w:space="5"/>
        </w:pBdr>
        <w:spacing w:after="0"/>
        <w:ind w:left="225"/>
        <w:jc w:val="left"/>
      </w:pPr>
      <w:r>
        <w:rPr>
          <w:rFonts w:ascii="Times New Roman" w:hAnsi="Times New Roman"/>
          <w:color w:val="000000"/>
        </w:rPr>
        <w:t>(S-90) When making determinations of responsibility, review the DCRL and comply with DCRL Special Attention Treatment Codes in Enterprise Central Component (SAP-ECC) and Supplier Relationship Management (SAP SRM/EProcurement).</w:t>
      </w:r>
    </w:p>
    <w:p>
      <w:pPr>
        <w:pBdr>
          <w:top w:space="5"/>
          <w:left w:space="5"/>
          <w:bottom w:space="5"/>
          <w:right w:space="5"/>
        </w:pBdr>
        <w:spacing w:after="0"/>
        <w:ind w:left="585"/>
        <w:jc w:val="left"/>
      </w:pPr>
      <w:r>
        <w:rPr>
          <w:rFonts w:ascii="Times New Roman" w:hAnsi="Times New Roman"/>
          <w:b w:val="false"/>
          <w:i w:val="false"/>
          <w:color w:val="000000"/>
          <w:sz w:val="22"/>
        </w:rPr>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w:pPr>
        <w:pBdr>
          <w:top w:space="5"/>
          <w:left w:space="5"/>
          <w:bottom w:space="5"/>
          <w:right w:space="5"/>
        </w:pBdr>
        <w:spacing w:after="0"/>
        <w:ind w:left="585"/>
        <w:jc w:val="left"/>
      </w:pPr>
      <w:r>
        <w:rPr>
          <w:rFonts w:ascii="Times New Roman" w:hAnsi="Times New Roman"/>
          <w:b w:val="false"/>
          <w:i w:val="false"/>
          <w:color w:val="000000"/>
          <w:sz w:val="22"/>
        </w:rPr>
        <w:t>(2) Contractors on the DCRL shall be considered for solicitation (except when the Special Attention Reason Code is “A” or the Special Attention Treatment Code is “08”).</w:t>
      </w:r>
    </w:p>
    <w:p>
      <w:pPr>
        <w:pBdr>
          <w:top w:space="5"/>
          <w:left w:space="5"/>
          <w:bottom w:space="5"/>
          <w:right w:space="5"/>
        </w:pBdr>
        <w:spacing w:after="0"/>
        <w:ind w:left="585"/>
        <w:jc w:val="left"/>
      </w:pPr>
      <w:r>
        <w:rPr>
          <w:rFonts w:ascii="Times New Roman" w:hAnsi="Times New Roman"/>
          <w:b w:val="false"/>
          <w:i w:val="false"/>
          <w:color w:val="000000"/>
          <w:sz w:val="22"/>
        </w:rPr>
        <w:t>(3) When the DCRL Special Attention Treatment Code description states “review Contractor Performance History,” request a Contractor Performance History.</w:t>
      </w:r>
    </w:p>
    <w:p>
      <w:pPr>
        <w:pBdr>
          <w:top w:space="5"/>
          <w:left w:space="5"/>
          <w:bottom w:space="5"/>
          <w:right w:space="5"/>
        </w:pBdr>
        <w:spacing w:after="0"/>
        <w:ind w:left="585"/>
        <w:jc w:val="left"/>
      </w:pPr>
      <w:r>
        <w:rPr>
          <w:rFonts w:ascii="Times New Roman" w:hAnsi="Times New Roman"/>
          <w:b w:val="false"/>
          <w:i w:val="false"/>
          <w:color w:val="000000"/>
          <w:sz w:val="22"/>
        </w:rPr>
        <w:t>(4) Confirm the information in SAM not more than four business days prior to award, and document the contract file</w:t>
      </w:r>
      <w:r>
        <w:rPr>
          <w:rFonts w:ascii="Times New Roman" w:hAnsi="Times New Roman"/>
          <w:b/>
          <w:i w:val="false"/>
          <w:color w:val="000000"/>
          <w:sz w:val="22"/>
        </w:rPr>
        <w:t>;</w:t>
      </w:r>
      <w:r>
        <w:rPr>
          <w:rFonts w:ascii="Times New Roman" w:hAnsi="Times New Roman"/>
          <w:b w:val="false"/>
          <w:i w:val="false"/>
          <w:color w:val="000000"/>
          <w:sz w:val="22"/>
        </w:rPr>
        <w:t xml:space="preserve"> except that contracting officers at DLA Maritime at Mechanicsburg and DLA Aviation Philadelphia DLR have authority to confirm information in SAM more than four business days prior to releasing award in the Integrated Technical, Item Management and Procurement (ITIMP) contract-writing system, in accordance with DEVIATION 20-06.</w:t>
      </w:r>
    </w:p>
    <w:p>
      <w:pPr>
        <w:pStyle w:val="Normal"/>
        <w:pBdr>
          <w:top w:space="5"/>
          <w:left w:space="5"/>
          <w:bottom w:space="5"/>
          <w:right w:space="5"/>
        </w:pBdr>
        <w:spacing w:after="0"/>
        <w:ind w:left="225"/>
        <w:jc w:val="left"/>
      </w:pPr>
      <w:r>
        <w:rPr>
          <w:rFonts w:ascii="Times New Roman" w:hAnsi="Times New Roman"/>
          <w:color w:val="000000"/>
        </w:rPr>
        <w:t>(S-91) DCRL Monitors.</w:t>
      </w:r>
    </w:p>
    <w:p>
      <w:pPr>
        <w:pBdr>
          <w:top w:space="5"/>
          <w:left w:space="5"/>
          <w:bottom w:space="5"/>
          <w:right w:space="5"/>
        </w:pBdr>
        <w:spacing w:after="0"/>
        <w:ind w:left="585"/>
        <w:jc w:val="left"/>
      </w:pPr>
      <w:r>
        <w:rPr>
          <w:rFonts w:ascii="Times New Roman" w:hAnsi="Times New Roman"/>
          <w:b w:val="false"/>
          <w:i w:val="false"/>
          <w:color w:val="000000"/>
          <w:sz w:val="22"/>
        </w:rPr>
        <w:t>(1) Each Procurement Process Support Director shall designate a DCRL monitor. Referrals to the DCRL Monitor shall be for any of the reasons identified in the DCRL Special Attention Reason Code table below.</w:t>
      </w:r>
    </w:p>
    <w:p>
      <w:pPr>
        <w:pBdr>
          <w:top w:space="5"/>
          <w:left w:space="5"/>
          <w:bottom w:space="5"/>
          <w:right w:space="5"/>
        </w:pBdr>
        <w:spacing w:after="0"/>
        <w:ind w:left="585"/>
        <w:jc w:val="left"/>
      </w:pPr>
      <w:r>
        <w:rPr>
          <w:rFonts w:ascii="Times New Roman" w:hAnsi="Times New Roman"/>
          <w:b/>
          <w:i w:val="false"/>
          <w:color w:val="000000"/>
          <w:sz w:val="22"/>
        </w:rPr>
        <w:t>(</w:t>
      </w:r>
      <w:r>
        <w:rPr>
          <w:rFonts w:ascii="Times New Roman" w:hAnsi="Times New Roman"/>
          <w:b w:val="false"/>
          <w:i w:val="false"/>
          <w:color w:val="000000"/>
          <w:sz w:val="22"/>
        </w:rP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w:pPr>
        <w:pBdr>
          <w:top w:space="5"/>
          <w:left w:space="5"/>
          <w:bottom w:space="5"/>
          <w:right w:space="5"/>
        </w:pBdr>
        <w:spacing w:after="0"/>
        <w:ind w:left="945"/>
        <w:jc w:val="left"/>
      </w:pPr>
      <w:r>
        <w:rPr>
          <w:rFonts w:ascii="Times New Roman" w:hAnsi="Times New Roman"/>
          <w:b w:val="false"/>
          <w:i w:val="false"/>
          <w:color w:val="000000"/>
          <w:sz w:val="22"/>
        </w:rPr>
        <w:t>(i)</w:t>
      </w:r>
      <w:r>
        <w:rPr>
          <w:rFonts w:ascii="Times New Roman" w:hAnsi="Times New Roman"/>
          <w:b w:val="false"/>
          <w:i w:val="false"/>
          <w:color w:val="000000"/>
          <w:sz w:val="22"/>
        </w:rP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w:pPr>
        <w:pStyle w:val="Normal"/>
        <w:pBdr>
          <w:top w:space="5"/>
          <w:left w:space="5"/>
          <w:bottom w:space="5"/>
          <w:right w:space="5"/>
        </w:pBdr>
        <w:spacing w:after="0"/>
        <w:ind w:left="225"/>
        <w:jc w:val="left"/>
      </w:pPr>
      <w:r>
        <w:rPr>
          <w:rFonts w:ascii="Times New Roman" w:hAnsi="Times New Roman"/>
          <w:color w:val="000000"/>
        </w:rPr>
        <w:t>(S-92) The DCRL Review Board. The DCRL Review Board is responsible for reviewing actions of the DCRL Monitors and ensuring the contractor listing is accurate and current.</w:t>
      </w:r>
    </w:p>
    <w:p>
      <w:pPr>
        <w:pBdr>
          <w:top w:space="5"/>
          <w:left w:space="5"/>
          <w:bottom w:space="5"/>
          <w:right w:space="5"/>
        </w:pBdr>
        <w:spacing w:after="0"/>
        <w:ind w:left="585"/>
        <w:jc w:val="left"/>
      </w:pPr>
      <w:r>
        <w:rPr>
          <w:rFonts w:ascii="Times New Roman" w:hAnsi="Times New Roman"/>
          <w:b w:val="false"/>
          <w:i w:val="false"/>
          <w:color w:val="000000"/>
          <w:sz w:val="22"/>
        </w:rPr>
        <w:t>(1) Membership consists of all DCRL Monitors, Fraud Counsel, DLA Logistics Operations Technical and Quality Division, and the DLA Acquisition Compliance, Policy and Pricing Division. The DLA Acquisition Programs Division will chair the board meetings. The Board shall–</w:t>
      </w:r>
    </w:p>
    <w:p>
      <w:pPr>
        <w:pBdr>
          <w:top w:space="5"/>
          <w:left w:space="5"/>
          <w:bottom w:space="5"/>
          <w:right w:space="5"/>
        </w:pBdr>
        <w:spacing w:after="0"/>
        <w:ind w:left="945"/>
        <w:jc w:val="left"/>
      </w:pPr>
      <w:r>
        <w:rPr>
          <w:rFonts w:ascii="Times New Roman" w:hAnsi="Times New Roman"/>
          <w:b w:val="false"/>
          <w:i w:val="false"/>
          <w:color w:val="000000"/>
          <w:sz w:val="22"/>
        </w:rPr>
        <w:t>(i) Meet quarterly.</w:t>
      </w:r>
    </w:p>
    <w:p>
      <w:pPr>
        <w:pBdr>
          <w:top w:space="5"/>
          <w:left w:space="5"/>
          <w:bottom w:space="5"/>
          <w:right w:space="5"/>
        </w:pBdr>
        <w:spacing w:after="0"/>
        <w:ind w:left="945"/>
        <w:jc w:val="left"/>
      </w:pPr>
      <w:r>
        <w:rPr>
          <w:rFonts w:ascii="Times New Roman" w:hAnsi="Times New Roman"/>
          <w:b w:val="false"/>
          <w:i w:val="false"/>
          <w:color w:val="000000"/>
          <w:sz w:val="22"/>
        </w:rPr>
        <w:t>(ii) Review the list of the current authorized DCRL contractor entries.</w:t>
      </w:r>
    </w:p>
    <w:p>
      <w:pPr>
        <w:pBdr>
          <w:top w:space="5"/>
          <w:left w:space="5"/>
          <w:bottom w:space="5"/>
          <w:right w:space="5"/>
        </w:pBdr>
        <w:spacing w:after="0"/>
        <w:ind w:left="945"/>
        <w:jc w:val="left"/>
      </w:pPr>
      <w:r>
        <w:rPr>
          <w:rFonts w:ascii="Times New Roman" w:hAnsi="Times New Roman"/>
          <w:b w:val="false"/>
          <w:i w:val="false"/>
          <w:color w:val="000000"/>
          <w:sz w:val="22"/>
        </w:rPr>
        <w:t>(iii) Resolve any concerns or questions pertaining to the DCRL purpose and processes for entry or removal of a contractor from the DCRL.</w:t>
      </w:r>
    </w:p>
    <w:p>
      <w:pPr>
        <w:pBdr>
          <w:top w:space="5"/>
          <w:left w:space="5"/>
          <w:bottom w:space="5"/>
          <w:right w:space="5"/>
        </w:pBdr>
        <w:spacing w:after="0"/>
        <w:ind w:left="945"/>
        <w:jc w:val="left"/>
      </w:pPr>
      <w:r>
        <w:rPr>
          <w:rFonts w:ascii="Times New Roman" w:hAnsi="Times New Roman"/>
          <w:b w:val="false"/>
          <w:i w:val="false"/>
          <w:color w:val="000000"/>
          <w:sz w:val="22"/>
        </w:rPr>
        <w:t>(iv) Publish and provide minutes from meetings to the DLA Acquisition Director</w:t>
      </w:r>
      <w:r>
        <w:rPr>
          <w:rFonts w:ascii="Times New Roman" w:hAnsi="Times New Roman"/>
          <w:b w:val="false"/>
          <w:i w:val="false"/>
          <w:color w:val="000000"/>
          <w:sz w:val="22"/>
        </w:rPr>
        <w:t>and the HCAs not later than ten business days after the DCRL Review Board meeting.</w:t>
      </w:r>
    </w:p>
    <w:p>
      <w:pPr>
        <w:pBdr>
          <w:top w:space="5"/>
          <w:left w:space="5"/>
          <w:bottom w:space="5"/>
          <w:right w:space="5"/>
        </w:pBdr>
        <w:spacing w:after="0"/>
        <w:ind w:left="585"/>
        <w:jc w:val="left"/>
      </w:pPr>
      <w:r>
        <w:rPr>
          <w:rFonts w:ascii="Times New Roman" w:hAnsi="Times New Roman"/>
          <w:b w:val="false"/>
          <w:i w:val="false"/>
          <w:color w:val="000000"/>
          <w:sz w:val="22"/>
        </w:rPr>
        <w:t>(2) Contractors shall be removed from the DCRL when—</w:t>
      </w:r>
    </w:p>
    <w:p>
      <w:pPr>
        <w:pBdr>
          <w:top w:space="5"/>
          <w:left w:space="5"/>
          <w:bottom w:space="5"/>
          <w:right w:space="5"/>
        </w:pBdr>
        <w:spacing w:after="0"/>
        <w:ind w:left="945"/>
        <w:jc w:val="left"/>
      </w:pPr>
      <w:r>
        <w:rPr>
          <w:rFonts w:ascii="Times New Roman" w:hAnsi="Times New Roman"/>
          <w:b w:val="false"/>
          <w:i w:val="false"/>
          <w:color w:val="000000"/>
          <w:sz w:val="22"/>
        </w:rPr>
        <w:t>(i) The conditions that warranted their inclusion on the DCRL no longer exist or have substantially improved; and/or</w:t>
      </w:r>
    </w:p>
    <w:p>
      <w:pPr>
        <w:pBdr>
          <w:top w:space="5"/>
          <w:left w:space="5"/>
          <w:bottom w:space="5"/>
          <w:right w:space="5"/>
        </w:pBdr>
        <w:spacing w:after="0"/>
        <w:ind w:left="945"/>
        <w:jc w:val="left"/>
      </w:pPr>
      <w:r>
        <w:rPr>
          <w:rFonts w:ascii="Times New Roman" w:hAnsi="Times New Roman"/>
          <w:b w:val="false"/>
          <w:i w:val="false"/>
          <w:color w:val="000000"/>
          <w:sz w:val="22"/>
        </w:rPr>
        <w:t>(ii) The DCRL Monitor determines that information provided by acquisition personnel is not sufficient to justify retention of the contractor on the DCRL.</w:t>
      </w:r>
    </w:p>
    <w:p>
      <w:pPr>
        <w:pStyle w:val="Normal"/>
        <w:pBdr>
          <w:top w:space="5"/>
          <w:left w:space="5"/>
          <w:bottom w:space="5"/>
          <w:right w:space="5"/>
        </w:pBdr>
        <w:spacing w:after="0"/>
        <w:ind w:left="225"/>
        <w:jc w:val="left"/>
      </w:pPr>
      <w:r>
        <w:rPr>
          <w:rFonts w:ascii="Times New Roman" w:hAnsi="Times New Roman"/>
          <w:color w:val="000000"/>
        </w:rPr>
        <w:t>(S-93) The DCRL Special Attention Reason Codes and Treatment Codes.</w:t>
      </w:r>
    </w:p>
    <w:p>
      <w:pPr>
        <w:pBdr>
          <w:top w:space="5"/>
          <w:left w:space="5"/>
          <w:bottom w:space="5"/>
          <w:right w:space="5"/>
        </w:pBdr>
        <w:spacing w:after="0"/>
        <w:ind w:left="585"/>
        <w:jc w:val="left"/>
      </w:pPr>
      <w:r>
        <w:rPr>
          <w:rFonts w:ascii="Times New Roman" w:hAnsi="Times New Roman"/>
          <w:b w:val="false"/>
          <w:i w:val="false"/>
          <w:color w:val="000000"/>
          <w:sz w:val="22"/>
        </w:rPr>
        <w:t xml:space="preserve">(1) Recommendations/instructions are cited for each supplier/CAGE code listed and are to provide visibility of known/potential areas of concern and actions that shall be taken to address such issues. When a preaward survey (PAS)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9.106-2</w:t>
        </w:r>
      </w:hyperlink>
      <w:r>
        <w:rPr>
          <w:rFonts w:ascii="Times New Roman" w:hAnsi="Times New Roman"/>
          <w:b w:val="false"/>
          <w:i w:val="false"/>
          <w:color w:val="000000"/>
          <w:sz w:val="22"/>
        </w:rP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Business Integrity (Fraud) Counsel.</w:t>
      </w:r>
    </w:p>
    <w:p>
      <w:pPr>
        <w:pBdr>
          <w:top w:space="5"/>
          <w:left w:space="5"/>
          <w:bottom w:space="5"/>
          <w:right w:space="5"/>
        </w:pBdr>
        <w:spacing w:after="0"/>
        <w:ind w:left="585"/>
        <w:jc w:val="left"/>
      </w:pPr>
      <w:r>
        <w:rPr>
          <w:rFonts w:ascii="Times New Roman" w:hAnsi="Times New Roman"/>
          <w:b w:val="false"/>
          <w:i w:val="false"/>
          <w:color w:val="000000"/>
          <w:sz w:val="22"/>
        </w:rPr>
        <w:t>(2) Special Attention Reason Codes. For DCRL Special Attention Reason Code A, the EProcurement “Debarment Status” field will be coded as: “D” for Debarment, a “P” for proposed debarment/suspension, or “S” for suspended.</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774"/>
        <w:gridCol w:w="3580"/>
        <w:gridCol w:w="8220"/>
      </w:tblGrid>
      <w:tr>
        <w:trPr>
          <w:trHeight w:val="1650" w:hRule="atLeast"/>
        </w:trPr>
        <w:tc>
          <w:tcPr>
            <w:tcW w:w="17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DCRL Special Attention Reason Codes</w:t>
            </w:r>
          </w:p>
        </w:tc>
        <w:tc>
          <w:tcPr>
            <w:tcW w:w="35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Description</w:t>
            </w:r>
          </w:p>
        </w:tc>
        <w:tc>
          <w:tcPr>
            <w:tcW w:w="8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Help Text</w:t>
            </w:r>
          </w:p>
        </w:tc>
      </w:tr>
      <w:tr>
        <w:trPr>
          <w:trHeight w:val="1545" w:hRule="atLeast"/>
        </w:trPr>
        <w:tc>
          <w:tcPr>
            <w:tcW w:w="17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t>
            </w:r>
          </w:p>
        </w:tc>
        <w:tc>
          <w:tcPr>
            <w:tcW w:w="35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Suspended or Debarred</w:t>
            </w:r>
          </w:p>
        </w:tc>
        <w:tc>
          <w:tcPr>
            <w:tcW w:w="8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Debarred, Suspended or Otherwise Ineligible</w:t>
            </w:r>
          </w:p>
          <w:p>
            <w:pPr>
              <w:pBdr>
                <w:top w:space="5"/>
                <w:left w:space="5"/>
                <w:bottom w:space="5"/>
                <w:right w:space="5"/>
              </w:pBdr>
              <w:spacing w:after="0"/>
              <w:ind w:left="240"/>
              <w:jc w:val="left"/>
            </w:pPr>
            <w:r>
              <w:rPr>
                <w:rFonts w:ascii="Times New Roman" w:hAnsi="Times New Roman"/>
                <w:b w:val="false"/>
                <w:i w:val="false"/>
                <w:color w:val="000000"/>
                <w:sz w:val="22"/>
              </w:rPr>
              <w:t>This category includes firms or individuals that are ineligible for federal procurements due to a suspension, proposal for debarment or debarment pursuant to FAR 9.4.</w:t>
            </w:r>
          </w:p>
        </w:tc>
      </w:tr>
      <w:tr>
        <w:trPr>
          <w:trHeight w:val="1815" w:hRule="atLeast"/>
        </w:trPr>
        <w:tc>
          <w:tcPr>
            <w:tcW w:w="17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w:t>
            </w:r>
          </w:p>
        </w:tc>
        <w:tc>
          <w:tcPr>
            <w:tcW w:w="35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Recommended for Debarment</w:t>
            </w:r>
          </w:p>
        </w:tc>
        <w:tc>
          <w:tcPr>
            <w:tcW w:w="8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Recommended For Debarment or Suspension.</w:t>
            </w:r>
          </w:p>
          <w:p>
            <w:pPr>
              <w:pBdr>
                <w:top w:space="5"/>
                <w:left w:space="5"/>
                <w:bottom w:space="5"/>
                <w:right w:space="5"/>
              </w:pBdr>
              <w:spacing w:after="0"/>
              <w:ind w:left="240"/>
              <w:jc w:val="left"/>
            </w:pPr>
            <w:r>
              <w:rPr>
                <w:rFonts w:ascii="Times New Roman" w:hAnsi="Times New Roman"/>
                <w:b w:val="false"/>
                <w:i w:val="false"/>
                <w:color w:val="000000"/>
                <w:sz w:val="22"/>
              </w:rPr>
              <w:t>This category includes contractors that have been recommended for debarment or suspension. Although these contractors are not ineligible for award, follow the treatment code.</w:t>
            </w:r>
          </w:p>
        </w:tc>
      </w:tr>
      <w:tr>
        <w:trPr>
          <w:trHeight w:val="1875" w:hRule="atLeast"/>
        </w:trPr>
        <w:tc>
          <w:tcPr>
            <w:tcW w:w="17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w:t>
            </w:r>
          </w:p>
        </w:tc>
        <w:tc>
          <w:tcPr>
            <w:tcW w:w="35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Responsibility Matters</w:t>
            </w:r>
          </w:p>
        </w:tc>
        <w:tc>
          <w:tcPr>
            <w:tcW w:w="8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trPr>
          <w:trHeight w:val="1515" w:hRule="atLeast"/>
        </w:trPr>
        <w:tc>
          <w:tcPr>
            <w:tcW w:w="17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w:t>
            </w:r>
          </w:p>
        </w:tc>
        <w:tc>
          <w:tcPr>
            <w:tcW w:w="35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8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 Contractors in this category have been terminated for default within the previous twelve months.</w:t>
            </w:r>
          </w:p>
        </w:tc>
      </w:tr>
      <w:tr>
        <w:trPr>
          <w:trHeight w:val="2685" w:hRule="atLeast"/>
        </w:trPr>
        <w:tc>
          <w:tcPr>
            <w:tcW w:w="17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w:t>
            </w:r>
          </w:p>
        </w:tc>
        <w:tc>
          <w:tcPr>
            <w:tcW w:w="35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Financial Difficulties</w:t>
            </w:r>
          </w:p>
        </w:tc>
        <w:tc>
          <w:tcPr>
            <w:tcW w:w="8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trPr>
          <w:trHeight w:val="1605" w:hRule="atLeast"/>
        </w:trPr>
        <w:tc>
          <w:tcPr>
            <w:tcW w:w="17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w:t>
            </w:r>
          </w:p>
        </w:tc>
        <w:tc>
          <w:tcPr>
            <w:tcW w:w="35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Chapter 7 Bankruptcy</w:t>
            </w:r>
          </w:p>
        </w:tc>
        <w:tc>
          <w:tcPr>
            <w:tcW w:w="8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Business Closings (Including Chapter 7 Bankruptcy). This category includes contractors and individuals who have ceased business operations, are in the process of liquidating under bankruptcy laws (Chapter 7), or are otherwise going out of business.</w:t>
            </w:r>
          </w:p>
        </w:tc>
      </w:tr>
      <w:tr>
        <w:trPr>
          <w:trHeight w:val="1065" w:hRule="atLeast"/>
        </w:trPr>
        <w:tc>
          <w:tcPr>
            <w:tcW w:w="17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w:t>
            </w:r>
          </w:p>
        </w:tc>
        <w:tc>
          <w:tcPr>
            <w:tcW w:w="35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Negative Preaward Survey</w:t>
            </w:r>
          </w:p>
        </w:tc>
        <w:tc>
          <w:tcPr>
            <w:tcW w:w="8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Negative Preaward Survey. Contractors are included in this category when a preaward survey (PAS) that recommends no award has been received within the last twelve months.</w:t>
            </w:r>
          </w:p>
        </w:tc>
      </w:tr>
      <w:tr>
        <w:trPr>
          <w:trHeight w:val="1335" w:hRule="atLeast"/>
        </w:trPr>
        <w:tc>
          <w:tcPr>
            <w:tcW w:w="17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w:t>
            </w:r>
          </w:p>
        </w:tc>
        <w:tc>
          <w:tcPr>
            <w:tcW w:w="35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Imposed Corrective Action</w:t>
            </w:r>
          </w:p>
        </w:tc>
        <w:tc>
          <w:tcPr>
            <w:tcW w:w="8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Has Imposed Corrective Action. Contractors are included in this category when DCMA has found deficiencies in the contractors' quality system and has imposed a Corrective Action (CAR) Level III or IV Review.</w:t>
            </w:r>
          </w:p>
        </w:tc>
      </w:tr>
      <w:tr>
        <w:trPr>
          <w:trHeight w:val="795" w:hRule="atLeast"/>
        </w:trPr>
        <w:tc>
          <w:tcPr>
            <w:tcW w:w="17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w:t>
            </w:r>
          </w:p>
        </w:tc>
        <w:tc>
          <w:tcPr>
            <w:tcW w:w="35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DCMA Delivery Schedule Manager</w:t>
            </w:r>
          </w:p>
        </w:tc>
        <w:tc>
          <w:tcPr>
            <w:tcW w:w="8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Delivery Schedule Manager. DCMA has relevant information concerning contractors in this category.</w:t>
            </w:r>
          </w:p>
        </w:tc>
      </w:tr>
      <w:tr>
        <w:trPr>
          <w:trHeight w:val="795" w:hRule="atLeast"/>
        </w:trPr>
        <w:tc>
          <w:tcPr>
            <w:tcW w:w="17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w:t>
            </w:r>
          </w:p>
        </w:tc>
        <w:tc>
          <w:tcPr>
            <w:tcW w:w="35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Delinquent Performance</w:t>
            </w:r>
          </w:p>
        </w:tc>
        <w:tc>
          <w:tcPr>
            <w:tcW w:w="8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Delinquent Performance. This category includes contractors that have exhibited a pattern of delinquencies.</w:t>
            </w:r>
          </w:p>
        </w:tc>
      </w:tr>
      <w:tr>
        <w:trPr>
          <w:trHeight w:val="4560" w:hRule="atLeast"/>
        </w:trPr>
        <w:tc>
          <w:tcPr>
            <w:tcW w:w="17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w:t>
            </w:r>
          </w:p>
        </w:tc>
        <w:tc>
          <w:tcPr>
            <w:tcW w:w="35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“Buy-Ins” or “Bid Shopping”</w:t>
            </w:r>
          </w:p>
        </w:tc>
        <w:tc>
          <w:tcPr>
            <w:tcW w:w="8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trPr>
          <w:trHeight w:val="1065" w:hRule="atLeast"/>
        </w:trPr>
        <w:tc>
          <w:tcPr>
            <w:tcW w:w="17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w:t>
            </w:r>
          </w:p>
        </w:tc>
        <w:tc>
          <w:tcPr>
            <w:tcW w:w="35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Discrepancies</w:t>
            </w:r>
          </w:p>
        </w:tc>
        <w:tc>
          <w:tcPr>
            <w:tcW w:w="8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Discrepancies (Excessive prices). Contractors are in this category when information indicates prices may not be fair and reasonable.</w:t>
            </w:r>
          </w:p>
        </w:tc>
      </w:tr>
      <w:tr>
        <w:trPr>
          <w:trHeight w:val="1710" w:hRule="atLeast"/>
        </w:trPr>
        <w:tc>
          <w:tcPr>
            <w:tcW w:w="17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w:t>
            </w:r>
          </w:p>
        </w:tc>
        <w:tc>
          <w:tcPr>
            <w:tcW w:w="35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Fast Pay Discrepancies</w:t>
            </w:r>
          </w:p>
        </w:tc>
        <w:tc>
          <w:tcPr>
            <w:tcW w:w="8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Fast Pay Discrepancies/Abuse Contractors are included in this category when there is evidence that a contractor is violating or has violated the Fast Pay procedure (e.g., contractor has invoiced the Government without shipping the supplies).</w:t>
            </w:r>
          </w:p>
        </w:tc>
      </w:tr>
      <w:tr>
        <w:trPr>
          <w:trHeight w:val="1065" w:hRule="atLeast"/>
        </w:trPr>
        <w:tc>
          <w:tcPr>
            <w:tcW w:w="17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w:t>
            </w:r>
          </w:p>
        </w:tc>
        <w:tc>
          <w:tcPr>
            <w:tcW w:w="35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Potentially Defective Material</w:t>
            </w:r>
          </w:p>
        </w:tc>
        <w:tc>
          <w:tcPr>
            <w:tcW w:w="8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Potentially Defective Material. Any DoD component has issued notifications regarding potentially defective material supplied by contracts in this category.</w:t>
            </w:r>
          </w:p>
        </w:tc>
      </w:tr>
      <w:tr>
        <w:trPr>
          <w:trHeight w:val="1830" w:hRule="atLeast"/>
        </w:trPr>
        <w:tc>
          <w:tcPr>
            <w:tcW w:w="17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w:t>
            </w:r>
          </w:p>
        </w:tc>
        <w:tc>
          <w:tcPr>
            <w:tcW w:w="35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Counterfeit Material and Unauthorized Substitution</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Counterfeit Material and Unauthorized Product Substitution. Contractors in this category are under surveillance by the Counterfeit Material/Unauthorized Product Substitution (CM/UPS) Team.</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2355" w:hRule="atLeast"/>
        </w:trPr>
        <w:tc>
          <w:tcPr>
            <w:tcW w:w="17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w:t>
            </w:r>
          </w:p>
        </w:tc>
        <w:tc>
          <w:tcPr>
            <w:tcW w:w="35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Nonconforming Supplies</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1335" w:hRule="atLeast"/>
        </w:trPr>
        <w:tc>
          <w:tcPr>
            <w:tcW w:w="17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w:t>
            </w:r>
          </w:p>
        </w:tc>
        <w:tc>
          <w:tcPr>
            <w:tcW w:w="35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Failure to Provide Approved Part</w:t>
            </w:r>
          </w:p>
        </w:tc>
        <w:tc>
          <w:tcPr>
            <w:tcW w:w="8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Failure to Provide Approved Part. This category includes contractors that have a pattern of supplying unapproved parts or making an unauthorized substitution for CAGE code/part numbered items.</w:t>
            </w:r>
          </w:p>
        </w:tc>
      </w:tr>
      <w:tr>
        <w:trPr>
          <w:trHeight w:val="2415" w:hRule="atLeast"/>
        </w:trPr>
        <w:tc>
          <w:tcPr>
            <w:tcW w:w="17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w:t>
            </w:r>
          </w:p>
        </w:tc>
        <w:tc>
          <w:tcPr>
            <w:tcW w:w="35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Miscellaneous</w:t>
            </w:r>
          </w:p>
        </w:tc>
        <w:tc>
          <w:tcPr>
            <w:tcW w:w="8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trPr>
          <w:trHeight w:val="2895" w:hRule="atLeast"/>
        </w:trPr>
        <w:tc>
          <w:tcPr>
            <w:tcW w:w="17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w:t>
            </w:r>
          </w:p>
        </w:tc>
        <w:tc>
          <w:tcPr>
            <w:tcW w:w="35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Sensitive Information</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2535" w:hRule="atLeast"/>
        </w:trPr>
        <w:tc>
          <w:tcPr>
            <w:tcW w:w="17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w:t>
            </w:r>
          </w:p>
        </w:tc>
        <w:tc>
          <w:tcPr>
            <w:tcW w:w="35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NIST SP 800-171</w:t>
            </w:r>
          </w:p>
        </w:tc>
        <w:tc>
          <w:tcPr>
            <w:tcW w:w="8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Contractors in this category have failed to upload a NIST SP 800-171 basic self-assessment score in the Supplier Performance Risk System (SPRS) in accordance with DFARS clause 252.204–7012, Safeguarding Covered Defense Information and Cyber Incident Reporting, DFARS Provision 252.204-7019, Notice of NIST SP 800-171 DoD Assessment Requirements, and DFARS Clause 252.204-7020, NIST SP 800-171 DoD Assessment Requirements.</w:t>
            </w:r>
          </w:p>
        </w:tc>
      </w:tr>
      <w:tr>
        <w:trPr>
          <w:trHeight w:val="795" w:hRule="atLeast"/>
        </w:trPr>
        <w:tc>
          <w:tcPr>
            <w:tcW w:w="17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w:t>
            </w:r>
          </w:p>
        </w:tc>
        <w:tc>
          <w:tcPr>
            <w:tcW w:w="35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Suspected Fraud or Collusion</w:t>
            </w:r>
          </w:p>
        </w:tc>
        <w:tc>
          <w:tcPr>
            <w:tcW w:w="8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Suspected Fraud or Collusion/Deceptive Business Practices.</w:t>
            </w:r>
          </w:p>
        </w:tc>
      </w:tr>
      <w:tr>
        <w:trPr>
          <w:trHeight w:val="1290" w:hRule="atLeast"/>
        </w:trPr>
        <w:tc>
          <w:tcPr>
            <w:tcW w:w="17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w:t>
            </w:r>
          </w:p>
        </w:tc>
        <w:tc>
          <w:tcPr>
            <w:tcW w:w="35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Combined CAGE Codes</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Combined CAGE Codes. Performance history for two or more CAGE codes have been combined for PPIRS purposes.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bl>
    <w:p>
      <w:pPr>
        <w:pBdr>
          <w:top w:space="5"/>
          <w:left w:space="5"/>
          <w:bottom w:space="5"/>
          <w:right w:space="5"/>
        </w:pBdr>
        <w:spacing w:after="0"/>
        <w:ind w:left="585"/>
        <w:jc w:val="left"/>
      </w:pPr>
      <w:r>
        <w:rPr>
          <w:rFonts w:ascii="Times New Roman" w:hAnsi="Times New Roman"/>
          <w:b w:val="false"/>
          <w:i w:val="false"/>
          <w:color w:val="000000"/>
          <w:sz w:val="22"/>
        </w:rPr>
        <w:t>(3) Special Attention Treatment codes.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121"/>
        <w:gridCol w:w="4131"/>
        <w:gridCol w:w="7322"/>
      </w:tblGrid>
      <w:tr>
        <w:trPr>
          <w:trHeight w:val="1650" w:hRule="atLeast"/>
        </w:trPr>
        <w:tc>
          <w:tcPr>
            <w:tcW w:w="21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DCRL Special Attention Treatment Codes</w:t>
            </w:r>
          </w:p>
        </w:tc>
        <w:tc>
          <w:tcPr>
            <w:tcW w:w="41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Description</w:t>
            </w:r>
          </w:p>
        </w:tc>
        <w:tc>
          <w:tcPr>
            <w:tcW w:w="73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Help Text</w:t>
            </w:r>
          </w:p>
        </w:tc>
      </w:tr>
      <w:tr>
        <w:trPr>
          <w:trHeight w:val="525" w:hRule="atLeast"/>
        </w:trPr>
        <w:tc>
          <w:tcPr>
            <w:tcW w:w="21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01</w:t>
            </w:r>
          </w:p>
        </w:tc>
        <w:tc>
          <w:tcPr>
            <w:tcW w:w="41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Reserved</w:t>
            </w:r>
          </w:p>
        </w:tc>
        <w:tc>
          <w:tcPr>
            <w:tcW w:w="73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Reserved</w:t>
            </w:r>
          </w:p>
        </w:tc>
      </w:tr>
      <w:tr>
        <w:trPr>
          <w:trHeight w:val="1065" w:hRule="atLeast"/>
        </w:trPr>
        <w:tc>
          <w:tcPr>
            <w:tcW w:w="21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02</w:t>
            </w:r>
          </w:p>
        </w:tc>
        <w:tc>
          <w:tcPr>
            <w:tcW w:w="41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Evidence of PID MFR Part Number</w:t>
            </w:r>
          </w:p>
        </w:tc>
        <w:tc>
          <w:tcPr>
            <w:tcW w:w="73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Part Numbered items, get evidence item was acquired from Manufacturer (MFR) cited in the Product Item Description (PID).</w:t>
            </w:r>
          </w:p>
        </w:tc>
      </w:tr>
      <w:tr>
        <w:trPr>
          <w:trHeight w:val="1335" w:hRule="atLeast"/>
        </w:trPr>
        <w:tc>
          <w:tcPr>
            <w:tcW w:w="21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03</w:t>
            </w:r>
          </w:p>
        </w:tc>
        <w:tc>
          <w:tcPr>
            <w:tcW w:w="41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Traceability requirements</w:t>
            </w:r>
          </w:p>
        </w:tc>
        <w:tc>
          <w:tcPr>
            <w:tcW w:w="73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FSGs/FSCs/NSNs requiring additional risk mitigation and the offeror is not identified as an approved source, require the offeror to submit traceability documentation.</w:t>
            </w:r>
          </w:p>
        </w:tc>
      </w:tr>
      <w:tr>
        <w:trPr>
          <w:trHeight w:val="795" w:hRule="atLeast"/>
        </w:trPr>
        <w:tc>
          <w:tcPr>
            <w:tcW w:w="21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04</w:t>
            </w:r>
          </w:p>
        </w:tc>
        <w:tc>
          <w:tcPr>
            <w:tcW w:w="41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Withhold Fast Pay Recommended.</w:t>
            </w:r>
          </w:p>
        </w:tc>
        <w:tc>
          <w:tcPr>
            <w:tcW w:w="73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Withholding of Fast Pay recommended.</w:t>
            </w:r>
          </w:p>
        </w:tc>
      </w:tr>
      <w:tr>
        <w:trPr>
          <w:trHeight w:val="1335" w:hRule="atLeast"/>
        </w:trPr>
        <w:tc>
          <w:tcPr>
            <w:tcW w:w="21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05</w:t>
            </w:r>
          </w:p>
        </w:tc>
        <w:tc>
          <w:tcPr>
            <w:tcW w:w="41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 PAS &gt; SAT/ Verbal PAS or Vendor Capability Questionnaire (VCQ) &lt; SAT.</w:t>
            </w:r>
          </w:p>
        </w:tc>
        <w:tc>
          <w:tcPr>
            <w:tcW w:w="73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Preaward Surveys for large buys/verbal preaward surveys and/or VCQ for simplified buys.</w:t>
            </w:r>
          </w:p>
        </w:tc>
      </w:tr>
      <w:tr>
        <w:trPr>
          <w:trHeight w:val="795" w:hRule="atLeast"/>
        </w:trPr>
        <w:tc>
          <w:tcPr>
            <w:tcW w:w="21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06</w:t>
            </w:r>
          </w:p>
        </w:tc>
        <w:tc>
          <w:tcPr>
            <w:tcW w:w="41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Fraud Monitor Coordination Required.</w:t>
            </w:r>
          </w:p>
        </w:tc>
        <w:tc>
          <w:tcPr>
            <w:tcW w:w="73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Forward any proposed awards through Fraud Monitor.</w:t>
            </w:r>
          </w:p>
        </w:tc>
      </w:tr>
      <w:tr>
        <w:trPr>
          <w:trHeight w:val="1065" w:hRule="atLeast"/>
        </w:trPr>
        <w:tc>
          <w:tcPr>
            <w:tcW w:w="21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07</w:t>
            </w:r>
          </w:p>
        </w:tc>
        <w:tc>
          <w:tcPr>
            <w:tcW w:w="41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Inspection Recommended.</w:t>
            </w:r>
          </w:p>
        </w:tc>
        <w:tc>
          <w:tcPr>
            <w:tcW w:w="73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Inspection recommended (use of source inspection evaluation factor authorized after formal notification to contractor).</w:t>
            </w:r>
          </w:p>
        </w:tc>
      </w:tr>
      <w:tr>
        <w:trPr>
          <w:trHeight w:val="525" w:hRule="atLeast"/>
        </w:trPr>
        <w:tc>
          <w:tcPr>
            <w:tcW w:w="21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08</w:t>
            </w:r>
          </w:p>
        </w:tc>
        <w:tc>
          <w:tcPr>
            <w:tcW w:w="41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 not solicit or award.</w:t>
            </w:r>
          </w:p>
        </w:tc>
        <w:tc>
          <w:tcPr>
            <w:tcW w:w="73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 not solicit or award.</w:t>
            </w:r>
          </w:p>
        </w:tc>
      </w:tr>
      <w:tr>
        <w:trPr>
          <w:trHeight w:val="795" w:hRule="atLeast"/>
        </w:trPr>
        <w:tc>
          <w:tcPr>
            <w:tcW w:w="21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09</w:t>
            </w:r>
          </w:p>
        </w:tc>
        <w:tc>
          <w:tcPr>
            <w:tcW w:w="41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 Contractor Performance History.</w:t>
            </w:r>
          </w:p>
        </w:tc>
        <w:tc>
          <w:tcPr>
            <w:tcW w:w="73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 Contractor Performance History (CPH).</w:t>
            </w:r>
          </w:p>
        </w:tc>
      </w:tr>
      <w:tr>
        <w:trPr>
          <w:trHeight w:val="795" w:hRule="atLeast"/>
        </w:trPr>
        <w:tc>
          <w:tcPr>
            <w:tcW w:w="21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41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Suspect Material to Fraud Monitor.</w:t>
            </w:r>
          </w:p>
        </w:tc>
        <w:tc>
          <w:tcPr>
            <w:tcW w:w="73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suspected material problems to Business Integrity (Fraud) Counsel.</w:t>
            </w:r>
          </w:p>
        </w:tc>
      </w:tr>
      <w:tr>
        <w:trPr>
          <w:trHeight w:val="525" w:hRule="atLeast"/>
        </w:trPr>
        <w:tc>
          <w:tcPr>
            <w:tcW w:w="21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41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DCMA.</w:t>
            </w:r>
          </w:p>
        </w:tc>
        <w:tc>
          <w:tcPr>
            <w:tcW w:w="73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DCMA.</w:t>
            </w:r>
          </w:p>
        </w:tc>
      </w:tr>
      <w:tr>
        <w:trPr>
          <w:trHeight w:val="1305" w:hRule="atLeast"/>
        </w:trPr>
        <w:tc>
          <w:tcPr>
            <w:tcW w:w="21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41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Corrective Action Report Level IV approval required.</w:t>
            </w:r>
          </w:p>
        </w:tc>
        <w:tc>
          <w:tcPr>
            <w:tcW w:w="73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CAR Level IV, approval required for award.</w:t>
            </w:r>
          </w:p>
        </w:tc>
      </w:tr>
      <w:tr>
        <w:trPr>
          <w:trHeight w:val="1065" w:hRule="atLeast"/>
        </w:trPr>
        <w:tc>
          <w:tcPr>
            <w:tcW w:w="21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41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Bilateral Award Email to Fraud Monitor.</w:t>
            </w:r>
          </w:p>
        </w:tc>
        <w:tc>
          <w:tcPr>
            <w:tcW w:w="73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Bilateral Award – email contractor’s name and CAGE, contract/purchase order no., and NSN to Fraud Monitor.</w:t>
            </w:r>
          </w:p>
        </w:tc>
      </w:tr>
      <w:tr>
        <w:trPr>
          <w:trHeight w:val="1065" w:hRule="atLeast"/>
        </w:trPr>
        <w:tc>
          <w:tcPr>
            <w:tcW w:w="21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41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Mods with Fraud Monitor.</w:t>
            </w:r>
          </w:p>
        </w:tc>
        <w:tc>
          <w:tcPr>
            <w:tcW w:w="73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Post award – Coordinate all administrative actions (modifications) with Fraud Monitor or Fraud Counsel.</w:t>
            </w:r>
          </w:p>
        </w:tc>
      </w:tr>
      <w:tr>
        <w:trPr>
          <w:trHeight w:val="795" w:hRule="atLeast"/>
        </w:trPr>
        <w:tc>
          <w:tcPr>
            <w:tcW w:w="21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41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 Resp/Nonresp required.</w:t>
            </w:r>
          </w:p>
        </w:tc>
        <w:tc>
          <w:tcPr>
            <w:tcW w:w="73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Prepare formal determination of responsibility/nonresponsibility.</w:t>
            </w:r>
          </w:p>
        </w:tc>
      </w:tr>
      <w:tr>
        <w:trPr>
          <w:trHeight w:val="1065" w:hRule="atLeast"/>
        </w:trPr>
        <w:tc>
          <w:tcPr>
            <w:tcW w:w="21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41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CAGE Combined for SPRS Info.</w:t>
            </w:r>
          </w:p>
        </w:tc>
        <w:tc>
          <w:tcPr>
            <w:tcW w:w="73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This CAGE Code has been combined with other CAGE codes for SPRS purposes (For Informational Purposes Only).</w:t>
            </w:r>
          </w:p>
        </w:tc>
      </w:tr>
      <w:tr>
        <w:trPr>
          <w:trHeight w:val="795" w:hRule="atLeast"/>
        </w:trPr>
        <w:tc>
          <w:tcPr>
            <w:tcW w:w="21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41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Cost and Price Office</w:t>
            </w:r>
          </w:p>
        </w:tc>
        <w:tc>
          <w:tcPr>
            <w:tcW w:w="73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Cost and Price Office</w:t>
            </w:r>
          </w:p>
        </w:tc>
      </w:tr>
      <w:tr>
        <w:trPr>
          <w:trHeight w:val="525" w:hRule="atLeast"/>
        </w:trPr>
        <w:tc>
          <w:tcPr>
            <w:tcW w:w="21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41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to Fraud Counsel.</w:t>
            </w:r>
          </w:p>
        </w:tc>
        <w:tc>
          <w:tcPr>
            <w:tcW w:w="73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to Business Integrity (Fraud) Counsel.</w:t>
            </w:r>
          </w:p>
        </w:tc>
      </w:tr>
      <w:tr>
        <w:trPr>
          <w:trHeight w:val="795" w:hRule="atLeast"/>
        </w:trPr>
        <w:tc>
          <w:tcPr>
            <w:tcW w:w="21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41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Office of Counsel.</w:t>
            </w:r>
          </w:p>
        </w:tc>
        <w:tc>
          <w:tcPr>
            <w:tcW w:w="73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Office of Counsel.</w:t>
            </w:r>
          </w:p>
        </w:tc>
      </w:tr>
      <w:tr>
        <w:trPr>
          <w:trHeight w:val="795" w:hRule="atLeast"/>
        </w:trPr>
        <w:tc>
          <w:tcPr>
            <w:tcW w:w="21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41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Refer to DCRL Narrative Detail.</w:t>
            </w:r>
          </w:p>
        </w:tc>
        <w:tc>
          <w:tcPr>
            <w:tcW w:w="73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Refer to DCRL Narrative for details.</w:t>
            </w:r>
          </w:p>
        </w:tc>
      </w:tr>
      <w:tr>
        <w:trPr>
          <w:trHeight w:val="795" w:hRule="atLeast"/>
        </w:trPr>
        <w:tc>
          <w:tcPr>
            <w:tcW w:w="21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41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price reasonableness.</w:t>
            </w:r>
          </w:p>
        </w:tc>
        <w:tc>
          <w:tcPr>
            <w:tcW w:w="73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documentation of price reasonableness.</w:t>
            </w:r>
          </w:p>
        </w:tc>
      </w:tr>
      <w:tr>
        <w:trPr>
          <w:trHeight w:val="795" w:hRule="atLeast"/>
        </w:trPr>
        <w:tc>
          <w:tcPr>
            <w:tcW w:w="21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41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 automated awards.</w:t>
            </w:r>
          </w:p>
        </w:tc>
        <w:tc>
          <w:tcPr>
            <w:tcW w:w="73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 from automated systems (case by case basis).</w:t>
            </w:r>
          </w:p>
        </w:tc>
      </w:tr>
    </w:tbl>
    <w:p>
      <w:pPr>
        <w:pStyle w:val="Normal"/>
        <w:pBdr>
          <w:top w:space="5"/>
          <w:left w:space="5"/>
          <w:bottom w:space="5"/>
          <w:right w:space="5"/>
        </w:pBdr>
        <w:spacing w:after="0"/>
        <w:ind w:left="225"/>
        <w:jc w:val="left"/>
      </w:pPr>
      <w:r>
        <w:rPr>
          <w:rFonts w:ascii="Times New Roman" w:hAnsi="Times New Roman"/>
          <w:color w:val="000000"/>
        </w:rPr>
        <w:t>(S-94) Other Risk Indicators: Obtain additional information to make responsibility/nonresponsibility determination.</w:t>
      </w:r>
    </w:p>
    <w:p>
      <w:pPr>
        <w:pBdr>
          <w:top w:space="5"/>
          <w:left w:space="5"/>
          <w:bottom w:space="5"/>
          <w:right w:space="5"/>
        </w:pBdr>
        <w:spacing w:after="0"/>
        <w:ind w:left="585"/>
        <w:jc w:val="left"/>
      </w:pPr>
      <w:r>
        <w:rPr>
          <w:rFonts w:ascii="Times New Roman" w:hAnsi="Times New Roman"/>
          <w:b w:val="false"/>
          <w:i w:val="false"/>
          <w:color w:val="000000"/>
          <w:sz w:val="22"/>
        </w:rPr>
        <w:t>(1) Supplier Risk Indicators:</w:t>
      </w:r>
    </w:p>
    <w:p>
      <w:pPr>
        <w:pBdr>
          <w:top w:space="5"/>
          <w:left w:space="5"/>
          <w:bottom w:space="5"/>
          <w:right w:space="5"/>
        </w:pBdr>
        <w:spacing w:after="0"/>
        <w:ind w:left="945"/>
        <w:jc w:val="left"/>
      </w:pPr>
      <w:r>
        <w:rPr>
          <w:rFonts w:ascii="Times New Roman" w:hAnsi="Times New Roman"/>
          <w:b w:val="false"/>
          <w:i w:val="false"/>
          <w:color w:val="000000"/>
          <w:sz w:val="22"/>
        </w:rPr>
        <w:t>(i) No DLA history (new vendor);</w:t>
      </w:r>
    </w:p>
    <w:p>
      <w:pPr>
        <w:pBdr>
          <w:top w:space="5"/>
          <w:left w:space="5"/>
          <w:bottom w:space="5"/>
          <w:right w:space="5"/>
        </w:pBdr>
        <w:spacing w:after="0"/>
        <w:ind w:left="945"/>
        <w:jc w:val="left"/>
      </w:pPr>
      <w:r>
        <w:rPr>
          <w:rFonts w:ascii="Times New Roman" w:hAnsi="Times New Roman"/>
          <w:b w:val="false"/>
          <w:i w:val="false"/>
          <w:color w:val="000000"/>
          <w:sz w:val="22"/>
        </w:rPr>
        <w:t>(ii) Poor SPRS Score or no SPRS Score;</w:t>
      </w:r>
    </w:p>
    <w:p>
      <w:pPr>
        <w:pBdr>
          <w:top w:space="5"/>
          <w:left w:space="5"/>
          <w:bottom w:space="5"/>
          <w:right w:space="5"/>
        </w:pBdr>
        <w:spacing w:after="0"/>
        <w:ind w:left="945"/>
        <w:jc w:val="left"/>
      </w:pPr>
      <w:r>
        <w:rPr>
          <w:rFonts w:ascii="Times New Roman" w:hAnsi="Times New Roman"/>
          <w:b w:val="false"/>
          <w:i w:val="false"/>
          <w:color w:val="000000"/>
          <w:sz w:val="22"/>
        </w:rPr>
        <w:t>(iii) Poor Delivery Performance;</w:t>
      </w:r>
    </w:p>
    <w:p>
      <w:pPr>
        <w:pBdr>
          <w:top w:space="5"/>
          <w:left w:space="5"/>
          <w:bottom w:space="5"/>
          <w:right w:space="5"/>
        </w:pBdr>
        <w:spacing w:after="0"/>
        <w:ind w:left="945"/>
        <w:jc w:val="left"/>
      </w:pPr>
      <w:r>
        <w:rPr>
          <w:rFonts w:ascii="Times New Roman" w:hAnsi="Times New Roman"/>
          <w:b w:val="false"/>
          <w:i w:val="false"/>
          <w:color w:val="000000"/>
          <w:sz w:val="22"/>
        </w:rPr>
        <w:t>(iv) Poor Quality Performance (excessive PQDRs/SDRs);</w:t>
      </w:r>
    </w:p>
    <w:p>
      <w:pPr>
        <w:pBdr>
          <w:top w:space="5"/>
          <w:left w:space="5"/>
          <w:bottom w:space="5"/>
          <w:right w:space="5"/>
        </w:pBdr>
        <w:spacing w:after="0"/>
        <w:ind w:left="945"/>
        <w:jc w:val="left"/>
      </w:pPr>
      <w:r>
        <w:rPr>
          <w:rFonts w:ascii="Times New Roman" w:hAnsi="Times New Roman"/>
          <w:b w:val="false"/>
          <w:i w:val="false"/>
          <w:color w:val="000000"/>
          <w:sz w:val="22"/>
        </w:rPr>
        <w:t>(v) Negative Preaward Survey (PAS) within 12 months;</w:t>
      </w:r>
    </w:p>
    <w:p>
      <w:pPr>
        <w:pBdr>
          <w:top w:space="5"/>
          <w:left w:space="5"/>
          <w:bottom w:space="5"/>
          <w:right w:space="5"/>
        </w:pBdr>
        <w:spacing w:after="0"/>
        <w:ind w:left="945"/>
        <w:jc w:val="left"/>
      </w:pPr>
      <w:r>
        <w:rPr>
          <w:rFonts w:ascii="Times New Roman" w:hAnsi="Times New Roman"/>
          <w:b w:val="false"/>
          <w:i w:val="false"/>
          <w:color w:val="000000"/>
          <w:sz w:val="22"/>
        </w:rPr>
        <w:t>(vi) History of fraud or collusion;</w:t>
      </w:r>
    </w:p>
    <w:p>
      <w:pPr>
        <w:pBdr>
          <w:top w:space="5"/>
          <w:left w:space="5"/>
          <w:bottom w:space="5"/>
          <w:right w:space="5"/>
        </w:pBdr>
        <w:spacing w:after="0"/>
        <w:ind w:left="945"/>
        <w:jc w:val="left"/>
      </w:pPr>
      <w:r>
        <w:rPr>
          <w:rFonts w:ascii="Times New Roman" w:hAnsi="Times New Roman"/>
          <w:b w:val="false"/>
          <w:i w:val="false"/>
          <w:color w:val="000000"/>
          <w:sz w:val="22"/>
        </w:rPr>
        <w:t>(vii) History of providing non-conforming, defective products, or counterfeit items;</w:t>
      </w:r>
    </w:p>
    <w:p>
      <w:pPr>
        <w:pBdr>
          <w:top w:space="5"/>
          <w:left w:space="5"/>
          <w:bottom w:space="5"/>
          <w:right w:space="5"/>
        </w:pBdr>
        <w:spacing w:after="0"/>
        <w:ind w:left="945"/>
        <w:jc w:val="left"/>
      </w:pPr>
      <w:r>
        <w:rPr>
          <w:rFonts w:ascii="Times New Roman" w:hAnsi="Times New Roman"/>
          <w:b w:val="false"/>
          <w:i w:val="false"/>
          <w:color w:val="000000"/>
          <w:sz w:val="22"/>
        </w:rPr>
        <w:t>(viii) Terminated for Default for the same FSC/NIIN within 3 years;</w:t>
      </w:r>
    </w:p>
    <w:p>
      <w:pPr>
        <w:pBdr>
          <w:top w:space="5"/>
          <w:left w:space="5"/>
          <w:bottom w:space="5"/>
          <w:right w:space="5"/>
        </w:pBdr>
        <w:spacing w:after="0"/>
        <w:ind w:left="945"/>
        <w:jc w:val="left"/>
      </w:pPr>
      <w:r>
        <w:rPr>
          <w:rFonts w:ascii="Times New Roman" w:hAnsi="Times New Roman"/>
          <w:b w:val="false"/>
          <w:i w:val="false"/>
          <w:color w:val="000000"/>
          <w:sz w:val="22"/>
        </w:rPr>
        <w:t>(ix) Bankruptcy within last 3 years;</w:t>
      </w:r>
    </w:p>
    <w:p>
      <w:pPr>
        <w:pBdr>
          <w:top w:space="5"/>
          <w:left w:space="5"/>
          <w:bottom w:space="5"/>
          <w:right w:space="5"/>
        </w:pBdr>
        <w:spacing w:after="0"/>
        <w:ind w:left="945"/>
        <w:jc w:val="left"/>
      </w:pPr>
      <w:r>
        <w:rPr>
          <w:rFonts w:ascii="Times New Roman" w:hAnsi="Times New Roman"/>
          <w:b w:val="false"/>
          <w:i w:val="false"/>
          <w:color w:val="000000"/>
          <w:sz w:val="22"/>
        </w:rPr>
        <w:t>(x) DCMA Corrective Action Requests (CAR);</w:t>
      </w:r>
    </w:p>
    <w:p>
      <w:pPr>
        <w:pBdr>
          <w:top w:space="5"/>
          <w:left w:space="5"/>
          <w:bottom w:space="5"/>
          <w:right w:space="5"/>
        </w:pBdr>
        <w:spacing w:after="0"/>
        <w:ind w:left="945"/>
        <w:jc w:val="left"/>
      </w:pPr>
      <w:r>
        <w:rPr>
          <w:rFonts w:ascii="Times New Roman" w:hAnsi="Times New Roman"/>
          <w:b w:val="false"/>
          <w:i w:val="false"/>
          <w:color w:val="000000"/>
          <w:sz w:val="22"/>
        </w:rPr>
        <w:t>(xi) The offeror is on the SAM Excluded Parties List System (EPLS) within the last 3 years;</w:t>
      </w:r>
    </w:p>
    <w:p>
      <w:pPr>
        <w:pBdr>
          <w:top w:space="5"/>
          <w:left w:space="5"/>
          <w:bottom w:space="5"/>
          <w:right w:space="5"/>
        </w:pBdr>
        <w:spacing w:after="0"/>
        <w:ind w:left="945"/>
        <w:jc w:val="left"/>
      </w:pPr>
      <w:r>
        <w:rPr>
          <w:rFonts w:ascii="Times New Roman" w:hAnsi="Times New Roman"/>
          <w:b w:val="false"/>
          <w:i w:val="false"/>
          <w:color w:val="000000"/>
          <w:sz w:val="22"/>
        </w:rPr>
        <w:t>(xii) The offeror is currently showing signs of financial distress, or has a history of delinquent payments and /or financial difficulty;</w:t>
      </w:r>
    </w:p>
    <w:p>
      <w:pPr>
        <w:pBdr>
          <w:top w:space="5"/>
          <w:left w:space="5"/>
          <w:bottom w:space="5"/>
          <w:right w:space="5"/>
        </w:pBdr>
        <w:spacing w:after="0"/>
        <w:ind w:left="945"/>
        <w:jc w:val="left"/>
      </w:pPr>
      <w:r>
        <w:rPr>
          <w:rFonts w:ascii="Times New Roman" w:hAnsi="Times New Roman"/>
          <w:b w:val="false"/>
          <w:i w:val="false"/>
          <w:color w:val="000000"/>
          <w:sz w:val="22"/>
        </w:rPr>
        <w:t>(xiii) Manufacturer’s CAGE identified in offer differs from CAGE code of the approved manufacturing source in solicitation;</w:t>
      </w:r>
    </w:p>
    <w:p>
      <w:pPr>
        <w:pBdr>
          <w:top w:space="5"/>
          <w:left w:space="5"/>
          <w:bottom w:space="5"/>
          <w:right w:space="5"/>
        </w:pBdr>
        <w:spacing w:after="0"/>
        <w:ind w:left="945"/>
        <w:jc w:val="left"/>
      </w:pPr>
      <w:r>
        <w:rPr>
          <w:rFonts w:ascii="Times New Roman" w:hAnsi="Times New Roman"/>
          <w:b w:val="false"/>
          <w:i w:val="false"/>
          <w:color w:val="000000"/>
          <w:sz w:val="22"/>
        </w:rPr>
        <w:t>(xiv) The offeror is reluctant or unable to provide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(xv) The offeror’s phone number, address, e-mail, or other vital information is missing, invalid, or suspicious;</w:t>
      </w:r>
    </w:p>
    <w:p>
      <w:pPr>
        <w:pBdr>
          <w:top w:space="5"/>
          <w:left w:space="5"/>
          <w:bottom w:space="5"/>
          <w:right w:space="5"/>
        </w:pBdr>
        <w:spacing w:after="0"/>
        <w:ind w:left="945"/>
        <w:jc w:val="left"/>
      </w:pPr>
      <w:r>
        <w:rPr>
          <w:rFonts w:ascii="Times New Roman" w:hAnsi="Times New Roman"/>
          <w:b w:val="false"/>
          <w:i w:val="false"/>
          <w:color w:val="000000"/>
          <w:sz w:val="22"/>
        </w:rPr>
        <w:t>(xvi) The offeror is a dealer but identifies itself as the manufacturer; and/or</w:t>
      </w:r>
    </w:p>
    <w:p>
      <w:pPr>
        <w:pBdr>
          <w:top w:space="5"/>
          <w:left w:space="5"/>
          <w:bottom w:space="5"/>
          <w:right w:space="5"/>
        </w:pBdr>
        <w:spacing w:after="0"/>
        <w:ind w:left="945"/>
        <w:jc w:val="left"/>
      </w:pPr>
      <w:r>
        <w:rPr>
          <w:rFonts w:ascii="Times New Roman" w:hAnsi="Times New Roman"/>
          <w:b w:val="false"/>
          <w:i w:val="false"/>
          <w:color w:val="000000"/>
          <w:sz w:val="22"/>
        </w:rPr>
        <w:t>(xvii) The offeror is a manufacturer, but its place of business is in a residential neighborhood.</w:t>
      </w:r>
    </w:p>
    <w:p>
      <w:pPr>
        <w:pBdr>
          <w:top w:space="5"/>
          <w:left w:space="5"/>
          <w:bottom w:space="5"/>
          <w:right w:space="5"/>
        </w:pBdr>
        <w:spacing w:after="0"/>
        <w:ind w:left="585"/>
        <w:jc w:val="left"/>
      </w:pPr>
      <w:r>
        <w:rPr>
          <w:rFonts w:ascii="Times New Roman" w:hAnsi="Times New Roman"/>
          <w:b w:val="false"/>
          <w:i w:val="false"/>
          <w:color w:val="000000"/>
          <w:sz w:val="22"/>
        </w:rPr>
        <w:t>(2) Price Risk Indicators:</w:t>
      </w:r>
    </w:p>
    <w:p>
      <w:pPr>
        <w:pBdr>
          <w:top w:space="5"/>
          <w:left w:space="5"/>
          <w:bottom w:space="5"/>
          <w:right w:space="5"/>
        </w:pBdr>
        <w:spacing w:after="0"/>
        <w:ind w:left="945"/>
        <w:jc w:val="left"/>
      </w:pPr>
      <w:r>
        <w:rPr>
          <w:rFonts w:ascii="Times New Roman" w:hAnsi="Times New Roman"/>
          <w:b w:val="false"/>
          <w:i w:val="false"/>
          <w:color w:val="000000"/>
          <w:sz w:val="22"/>
        </w:rPr>
        <w:t>(i) The price offered is lower than price of approved source or its authorized distributor;</w:t>
      </w:r>
    </w:p>
    <w:p>
      <w:pPr>
        <w:pBdr>
          <w:top w:space="5"/>
          <w:left w:space="5"/>
          <w:bottom w:space="5"/>
          <w:right w:space="5"/>
        </w:pBdr>
        <w:spacing w:after="0"/>
        <w:ind w:left="945"/>
        <w:jc w:val="left"/>
      </w:pPr>
      <w:r>
        <w:rPr>
          <w:rFonts w:ascii="Times New Roman" w:hAnsi="Times New Roman"/>
          <w:b w:val="false"/>
          <w:i w:val="false"/>
          <w:color w:val="000000"/>
          <w:sz w:val="22"/>
        </w:rPr>
        <w:t>(ii) The price offered is out of line with other offers or past pricing history; and/or</w:t>
      </w:r>
    </w:p>
    <w:p>
      <w:pPr>
        <w:pBdr>
          <w:top w:space="5"/>
          <w:left w:space="5"/>
          <w:bottom w:space="5"/>
          <w:right w:space="5"/>
        </w:pBdr>
        <w:spacing w:after="0"/>
        <w:ind w:left="945"/>
        <w:jc w:val="left"/>
      </w:pPr>
      <w:r>
        <w:rPr>
          <w:rFonts w:ascii="Times New Roman" w:hAnsi="Times New Roman"/>
          <w:b w:val="false"/>
          <w:i w:val="false"/>
          <w:color w:val="000000"/>
          <w:sz w:val="22"/>
        </w:rPr>
        <w:t>(iii) The price offered for new product is lower than price offered for surplus material.</w:t>
      </w:r>
    </w:p>
    <w:p>
      <w:pPr>
        <w:pBdr>
          <w:top w:space="5"/>
          <w:left w:space="5"/>
          <w:bottom w:space="5"/>
          <w:right w:space="5"/>
        </w:pBdr>
        <w:spacing w:after="0"/>
        <w:ind w:left="585"/>
        <w:jc w:val="left"/>
      </w:pPr>
      <w:r>
        <w:rPr>
          <w:rFonts w:ascii="Times New Roman" w:hAnsi="Times New Roman"/>
          <w:b w:val="false"/>
          <w:i w:val="false"/>
          <w:color w:val="000000"/>
          <w:sz w:val="22"/>
        </w:rPr>
        <w:t>(3) High Risk Item with technical data package (TDP) and no record of successful performance in the FSC (e.g., critical safety, ALRE, complex TDP, FAT).</w:t>
      </w:r>
    </w:p>
    <w:p>
      <w:pPr>
        <w:pStyle w:val="Normal"/>
        <w:pBdr>
          <w:top w:space="5"/>
          <w:left w:space="5"/>
          <w:bottom w:space="5"/>
          <w:right w:space="5"/>
        </w:pBdr>
        <w:spacing w:after="0"/>
        <w:ind w:left="225"/>
        <w:jc w:val="left"/>
      </w:pPr>
      <w:r>
        <w:rPr>
          <w:rFonts w:ascii="Times New Roman" w:hAnsi="Times New Roman"/>
          <w:color w:val="000000"/>
        </w:rPr>
        <w:t>(S-95) Consider contract risk mitigation when a contractor can be determined responsible but risk factors are present.</w:t>
      </w:r>
    </w:p>
    <w:p>
      <w:pPr>
        <w:pBdr>
          <w:top w:space="5"/>
          <w:left w:space="5"/>
          <w:bottom w:space="5"/>
          <w:right w:space="5"/>
        </w:pBdr>
        <w:spacing w:after="0"/>
        <w:ind w:left="585"/>
        <w:jc w:val="left"/>
      </w:pPr>
      <w:r>
        <w:rPr>
          <w:rFonts w:ascii="Times New Roman" w:hAnsi="Times New Roman"/>
          <w:b w:val="false"/>
          <w:i w:val="false"/>
          <w:color w:val="000000"/>
          <w:sz w:val="22"/>
        </w:rPr>
        <w:t>(1) No Fast Pay.</w:t>
      </w:r>
    </w:p>
    <w:p>
      <w:pPr>
        <w:pBdr>
          <w:top w:space="5"/>
          <w:left w:space="5"/>
          <w:bottom w:space="5"/>
          <w:right w:space="5"/>
        </w:pBdr>
        <w:spacing w:after="0"/>
        <w:ind w:left="585"/>
        <w:jc w:val="left"/>
      </w:pPr>
      <w:r>
        <w:rPr>
          <w:rFonts w:ascii="Times New Roman" w:hAnsi="Times New Roman"/>
          <w:b w:val="false"/>
          <w:i w:val="false"/>
          <w:color w:val="000000"/>
          <w:sz w:val="22"/>
        </w:rPr>
        <w:t>(2) Bilateral Purchase Order.</w:t>
      </w:r>
    </w:p>
    <w:p>
      <w:pPr>
        <w:pBdr>
          <w:top w:space="5"/>
          <w:left w:space="5"/>
          <w:bottom w:space="5"/>
          <w:right w:space="5"/>
        </w:pBdr>
        <w:spacing w:after="0"/>
        <w:ind w:left="585"/>
        <w:jc w:val="left"/>
      </w:pPr>
      <w:r>
        <w:rPr>
          <w:rFonts w:ascii="Times New Roman" w:hAnsi="Times New Roman"/>
          <w:b w:val="false"/>
          <w:i w:val="false"/>
          <w:color w:val="000000"/>
          <w:sz w:val="22"/>
        </w:rPr>
        <w:t>(3) Code and Part Number Buy: Request Traceability Preaward and Post-Award.</w:t>
      </w:r>
    </w:p>
    <w:p>
      <w:pPr>
        <w:pBdr>
          <w:top w:space="5"/>
          <w:left w:space="5"/>
          <w:bottom w:space="5"/>
          <w:right w:space="5"/>
        </w:pBdr>
        <w:spacing w:after="0"/>
        <w:ind w:left="585"/>
        <w:jc w:val="left"/>
      </w:pPr>
      <w:r>
        <w:rPr>
          <w:rFonts w:ascii="Times New Roman" w:hAnsi="Times New Roman"/>
          <w:b w:val="false"/>
          <w:i w:val="false"/>
          <w:color w:val="000000"/>
          <w:sz w:val="22"/>
        </w:rPr>
        <w:t>(4) Specification/Standard/Drawing buy: Require source inspection (if appropriate), no COC, require PVT.</w:t>
      </w:r>
    </w:p>
    <w:p>
      <w:pPr>
        <w:pBdr>
          <w:top w:space="5"/>
          <w:left w:space="5"/>
          <w:bottom w:space="5"/>
          <w:right w:space="5"/>
        </w:pBdr>
        <w:spacing w:after="0"/>
        <w:ind w:left="585"/>
        <w:jc w:val="left"/>
      </w:pPr>
      <w:r>
        <w:rPr>
          <w:rFonts w:ascii="Times New Roman" w:hAnsi="Times New Roman"/>
          <w:b w:val="false"/>
          <w:i w:val="false"/>
          <w:color w:val="000000"/>
          <w:sz w:val="22"/>
        </w:rPr>
        <w:t>(5) Super Key Item Drivers with FAT: Split award between proven (waived) and unproven sources.</w:t>
      </w:r>
    </w:p>
    <w:p>
      <w:pPr>
        <w:pBdr>
          <w:top w:space="5"/>
          <w:left w:space="5"/>
          <w:bottom w:space="5"/>
          <w:right w:space="5"/>
        </w:pBdr>
        <w:spacing w:after="0"/>
        <w:ind w:left="585"/>
        <w:jc w:val="left"/>
      </w:pPr>
      <w:r>
        <w:rPr>
          <w:rFonts w:ascii="Times New Roman" w:hAnsi="Times New Roman"/>
          <w:b w:val="false"/>
          <w:i w:val="false"/>
          <w:color w:val="000000"/>
          <w:sz w:val="22"/>
        </w:rPr>
        <w:t>(6) Request the product specialist to prepare a Quality Assurance Letter of Instruction (QALI) when additional instructions or guidance are required on source inspection.</w:t>
      </w:r>
    </w:p>
    <w:p>
      <w:pPr>
        <w:pBdr>
          <w:top w:space="5"/>
          <w:left w:space="5"/>
          <w:bottom w:space="5"/>
          <w:right w:space="5"/>
        </w:pBdr>
        <w:spacing w:after="0"/>
        <w:ind w:left="225"/>
        <w:jc w:val="left"/>
      </w:pPr>
      <w:r>
        <w:rPr>
          <w:rFonts w:ascii="Times New Roman" w:hAnsi="Times New Roman"/>
          <w:b w:val="false"/>
          <w:i w:val="false"/>
          <w:color w:val="000000"/>
          <w:sz w:val="22"/>
        </w:rPr>
        <w:t>(S-96)(1) Business decision analytics (BDA) job aids. The following job aids and training material can be viewed online:</w:t>
      </w:r>
    </w:p>
    <w:p>
      <w:pPr>
        <w:pBdr>
          <w:top w:space="5"/>
          <w:left w:space="5"/>
          <w:bottom w:space="5"/>
          <w:right w:space="5"/>
        </w:pBdr>
        <w:spacing w:after="0"/>
        <w:ind w:left="225"/>
        <w:jc w:val="left"/>
      </w:pPr>
      <w:r>
        <w:rPr>
          <w:rFonts w:ascii="Times New Roman" w:hAnsi="Times New Roman"/>
          <w:b w:val="false"/>
          <w:i w:val="false"/>
          <w:color w:val="000000"/>
          <w:sz w:val="22"/>
        </w:rPr>
        <w:t>BDA Item Model Job Aid</w:t>
      </w:r>
    </w:p>
    <w:p>
      <w:pPr>
        <w:pBdr>
          <w:top w:space="5"/>
          <w:left w:space="5"/>
          <w:bottom w:space="5"/>
          <w:right w:space="5"/>
        </w:pBdr>
        <w:spacing w:after="0"/>
        <w:ind w:left="225"/>
        <w:jc w:val="left"/>
      </w:pPr>
      <w:r>
        <w:rPr>
          <w:rFonts w:ascii="Times New Roman" w:hAnsi="Times New Roman"/>
          <w:b w:val="false"/>
          <w:i w:val="false"/>
          <w:color w:val="000000"/>
          <w:sz w:val="22"/>
        </w:rPr>
        <w:t>BDA Price Model Job Aid</w:t>
      </w:r>
    </w:p>
    <w:p>
      <w:pPr>
        <w:pBdr>
          <w:top w:space="5"/>
          <w:left w:space="5"/>
          <w:bottom w:space="5"/>
          <w:right w:space="5"/>
        </w:pBdr>
        <w:spacing w:after="0"/>
        <w:ind w:left="225"/>
        <w:jc w:val="left"/>
      </w:pPr>
      <w:r>
        <w:rPr>
          <w:rFonts w:ascii="Times New Roman" w:hAnsi="Times New Roman"/>
          <w:b w:val="false"/>
          <w:i w:val="false"/>
          <w:color w:val="000000"/>
          <w:sz w:val="22"/>
        </w:rPr>
        <w:t>BDA Supplier Model Job Aid</w:t>
      </w:r>
    </w:p>
    <w:p>
      <w:pPr>
        <w:pStyle w:val="Normal"/>
        <w:pBdr>
          <w:top w:space="5"/>
          <w:left w:space="5"/>
          <w:bottom w:space="5"/>
          <w:right w:space="5"/>
        </w:pBdr>
        <w:spacing w:after="0"/>
        <w:ind w:left="225"/>
        <w:jc w:val="left"/>
      </w:pPr>
      <w:r>
        <w:rPr>
          <w:rFonts w:ascii="Times New Roman" w:hAnsi="Times New Roman"/>
          <w:color w:val="000000"/>
        </w:rPr>
        <w:t>CAGE Compromised Job Aid (General Counsel and other designated users only)</w:t>
      </w:r>
    </w:p>
    <w:p>
      <w:pPr>
        <w:pBdr>
          <w:top w:space="5"/>
          <w:left w:space="5"/>
          <w:bottom w:space="5"/>
          <w:right w:space="5"/>
        </w:pBdr>
        <w:spacing w:after="0"/>
        <w:ind w:left="585"/>
        <w:jc w:val="left"/>
      </w:pPr>
      <w:r>
        <w:rPr>
          <w:rFonts w:ascii="Times New Roman" w:hAnsi="Times New Roman"/>
          <w:b w:val="false"/>
          <w:i w:val="false"/>
          <w:color w:val="000000"/>
          <w:sz w:val="22"/>
        </w:rPr>
        <w:t>(2) Select the following:</w:t>
      </w:r>
    </w:p>
    <w:p>
      <w:pPr>
        <w:pBdr>
          <w:top w:space="5"/>
          <w:left w:space="5"/>
          <w:bottom w:space="5"/>
          <w:right w:space="5"/>
        </w:pBdr>
        <w:spacing w:after="0"/>
        <w:ind w:left="945"/>
        <w:jc w:val="left"/>
      </w:pPr>
      <w:r>
        <w:rPr>
          <w:rFonts w:ascii="Times New Roman" w:hAnsi="Times New Roman"/>
          <w:b w:val="false"/>
          <w:i w:val="false"/>
          <w:color w:val="000000"/>
          <w:sz w:val="22"/>
        </w:rPr>
        <w:t xml:space="preserve">(i)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Enterprise Business Portal</w:t>
        </w:r>
      </w:hyperlink>
      <w:r>
        <w:rPr>
          <w:rFonts w:ascii="Times New Roman" w:hAnsi="Times New Roman"/>
          <w:b w:val="false"/>
          <w:i w:val="false"/>
          <w:color w:val="000000"/>
          <w:sz w:val="22"/>
        </w:rPr>
        <w:t xml:space="preserv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https://pep1.bsm.dla.mil/irj/portal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Enterprise Business Portal</w:t>
        </w:r>
      </w:hyperlink>
      <w:r>
        <w:rPr>
          <w:rFonts w:ascii="Times New Roman" w:hAnsi="Times New Roman"/>
          <w:b w:val="false"/>
          <w:i w:val="false"/>
          <w:color w:val="000000"/>
          <w:sz w:val="22"/>
        </w:rPr>
        <w:t xml:space="preserv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https://pep1.bsm.dla.mil/irj/portal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w:t>
      </w:r>
      <w:r>
        <w:rPr>
          <w:rFonts w:ascii="Times New Roman" w:hAnsi="Times New Roman"/>
          <w:b w:val="false"/>
          <w:i w:val="false"/>
          <w:color w:val="000000"/>
          <w:sz w:val="22"/>
          <w:u w:val="single"/>
        </w:rPr>
        <w:t>https://dlamil.dps.mil/sites/P1/ebs/Pages/ONLINEHELP.aspx</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EProcurement</w:t>
        </w:r>
      </w:hyperlink>
      <w:r>
        <w:rPr>
          <w:rFonts w:ascii="Times New Roman" w:hAnsi="Times New Roman"/>
          <w:b w:val="false"/>
          <w:i w:val="false"/>
          <w:color w:val="000000"/>
          <w:sz w:val="22"/>
        </w:rPr>
        <w:t xml:space="preserve">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https://dlamil.dps.mil/sites/InfoOps/Shared%20Documents/Forms/AllItems.aspx?RootFolder=%2Fsites%2FInfoOps%2FShared%20Documents%2FEBS%20ONLINE%20HELP%2FePROCUREMENT&amp;FolderCTID=0x012000D3D259D71343A94E992AA17310CB0231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(v)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Business Decision Analytics (BDA)</w:t>
        </w:r>
      </w:hyperlink>
      <w:r>
        <w:rPr>
          <w:rFonts w:ascii="Times New Roman" w:hAnsi="Times New Roman"/>
          <w:b w:val="false"/>
          <w:i w:val="false"/>
          <w:color w:val="000000"/>
          <w:sz w:val="22"/>
        </w:rPr>
        <w:t xml:space="preserve"> (</w:t>
      </w: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https://dlamil.dps.mil/sites/InfoOps/Shared%20Documents/Forms/AllItems.aspx?FolderCTID=0x012000D3D259D71343A94E992AA17310CB0231&amp;viewid=bb1b25a6%2D56d8%2D4398%2Dac48%2D5f987c946cca&amp;id=%2Fsites%2FInfoOps%2FShared%20Documents%2FEBS%20ONLINE%20HELP%2FePROCUREMENT%2FBDA</w:t>
        </w:r>
      </w:hyperlink>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hyperlink r:id="rId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BDA Supplier Risk Analysis by CAGE Code Model Job Aid</w:t>
        </w:r>
      </w:hyperlink>
      <w:r>
        <w:rPr>
          <w:rFonts w:ascii="Times New Roman" w:hAnsi="Times New Roman"/>
          <w:b w:val="false"/>
          <w:i w:val="false"/>
          <w:color w:val="000000"/>
          <w:sz w:val="22"/>
        </w:rPr>
        <w:t xml:space="preserve"> (</w:t>
      </w:r>
      <w:hyperlink r:id="rId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https://dlamil.dps.mil/:w:/r/sites/InfoOps/_layouts/15/Doc.aspx?sourcedoc=%7BAA99BEB2-862B-42F2-A7E5-4DE86099455E%7D&amp;file=BDA%20Supplier%20by%20CAGE%20Job%20Aid%20-%20Procurement.doc&amp;action=default&amp;mobileredirect=true</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9.106-2.dita#DLAD_9_106-2" Type="http://schemas.openxmlformats.org/officeDocument/2006/relationships/hyperlink" Id="rId4"/>
    <Relationship TargetMode="External" Target="https://pep1.bsm.dla.mil/irj/portal" Type="http://schemas.openxmlformats.org/officeDocument/2006/relationships/hyperlink" Id="rId5"/>
    <Relationship TargetMode="External" Target="https://pep1.bsm.dla.mil/irj/portal" Type="http://schemas.openxmlformats.org/officeDocument/2006/relationships/hyperlink" Id="rId6"/>
    <Relationship TargetMode="External" Target="https://pep1.bsm.dla.mil/irj/portal" Type="http://schemas.openxmlformats.org/officeDocument/2006/relationships/hyperlink" Id="rId7"/>
    <Relationship TargetMode="External" Target="https://pep1.bsm.dla.mil/irj/portal" Type="http://schemas.openxmlformats.org/officeDocument/2006/relationships/hyperlink" Id="rId8"/>
    <Relationship TargetMode="External" Target="https://dlamil.dps.mil/sites/P1/ebs/Pages/ONLINEHELP.aspx" Type="http://schemas.openxmlformats.org/officeDocument/2006/relationships/hyperlink" Id="rId9"/>
    <Relationship TargetMode="External" Target="https://dlamil.dps.mil/sites/InfoOps/Shared%20Documents/Forms/AllItems.aspx?RootFolder=%2Fsites%2FInfoOps%2FShared%20Documents%2FEBS%20ONLINE%20HELP%2FePROCUREMENT&amp;FolderCTID=0x012000D3D259D71343A94E992AA17310CB0231" Type="http://schemas.openxmlformats.org/officeDocument/2006/relationships/hyperlink" Id="rId10"/>
    <Relationship TargetMode="External" Target="https://dlamil.dps.mil/sites/InfoOps/Shared%20Documents/Forms/AllItems.aspx?RootFolder=%2Fsites%2FInfoOps%2FShared%20Documents%2FEBS%20ONLINE%20HELP%2FePROCUREMENT&amp;FolderCTID=0x012000D3D259D71343A94E992AA17310CB0231" Type="http://schemas.openxmlformats.org/officeDocument/2006/relationships/hyperlink" Id="rId11"/>
    <Relationship TargetMode="External" Target="https://dlamil.dps.mil/sites/InfoOps/Shared%20Documents/Forms/AllItems.aspx?FolderCTID=0x012000D3D259D71343A94E992AA17310CB0231&amp;viewid=bb1b25a6%2D56d8%2D4398%2Dac48%2D5f987c946cca&amp;id=%2Fsites%2FInfoOps%2FShared%20Documents%2FEBS%20ONLINE%20HELP%2FePROCUREMENT%2FBDA" Type="http://schemas.openxmlformats.org/officeDocument/2006/relationships/hyperlink" Id="rId12"/>
    <Relationship TargetMode="External" Target="https://dlamil.dps.mil/sites/InfoOps/Shared%20Documents/Forms/AllItems.aspx?FolderCTID=0x012000D3D259D71343A94E992AA17310CB0231&amp;viewid=bb1b25a6%2D56d8%2D4398%2Dac48%2D5f987c946cca&amp;id=%2Fsites%2FInfoOps%2FShared%20Documents%2FEBS%20ONLINE%20HELP%2FePROCUREMENT%2FBDA" Type="http://schemas.openxmlformats.org/officeDocument/2006/relationships/hyperlink" Id="rId13"/>
    <Relationship TargetMode="External" Target="https://dlamil.dps.mil/:w:/r/sites/InfoOps/_layouts/15/Doc.aspx?sourcedoc=%7BAA99BEB2-862B-42F2-A7E5-4DE86099455E%7D&amp;file=BDA%20Supplier%20by%20CAGE%20Job%20Aid%20-%20Procurement.doc&amp;action=default&amp;mobileredirect=true" Type="http://schemas.openxmlformats.org/officeDocument/2006/relationships/hyperlink" Id="rId14"/>
    <Relationship TargetMode="External" Target="https://dlamil.dps.mil/:w:/r/sites/InfoOps/_layouts/15/Doc.aspx?sourcedoc=%7BAA99BEB2-862B-42F2-A7E5-4DE86099455E%7D&amp;file=BDA%20Supplier%20by%20CAGE%20Job%20Aid%20-%20Procurement.doc&amp;action=default&amp;mobileredirect=true" Type="http://schemas.openxmlformats.org/officeDocument/2006/relationships/hyperlink" Id="rId1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