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**ID__DLAD_9_270-3__ID**</w:t>
      </w:r>
    </w:p>
    <w:p>
      <w:pPr>
        <w:pStyle w:val="Heading3"/>
        <w:spacing w:after="199"/>
        <w:ind w:left="120"/>
        <w:jc w:val="left"/>
      </w:pPr>
      <w:r>
        <w:rPr>
          <w:rFonts w:ascii="Times New Roman" w:hAnsi="Times New Roman"/>
          <w:color w:val="000000"/>
          <w:sz w:val="31"/>
        </w:rPr>
        <w:t>9.270-3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r:id="rId4">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5">
        <w:r>
          <w:rPr>
            <w:rStyle w:val="Hyperlink"/>
            <w:rFonts w:ascii="Times New Roman" w:hAnsi="Times New Roman"/>
            <w:color w:val="0000ff"/>
            <w:u w:val="single"/>
          </w:rPr>
          <w:t/>
        </w:r>
        <w:r>
          <w:rPr>
            <w:rFonts w:ascii="Times New Roman" w:hAnsi="Times New Roman"/>
            <w:color w:val="0000ff"/>
            <w:u w:val="single"/>
          </w:rPr>
          <w:t>9.270-3</w:t>
        </w:r>
      </w:hyperlink>
      <w:hyperlink r:id="rId6">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747"/>
        <w:gridCol w:w="2093"/>
        <w:gridCol w:w="2363"/>
        <w:gridCol w:w="2443"/>
        <w:gridCol w:w="1979"/>
        <w:gridCol w:w="1949"/>
      </w:tblGrid>
      <w:tr>
        <w:trPr>
          <w:trHeight w:val="178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430"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1.302.dita#DLAD_11_302/ereD3r" Type="http://schemas.openxmlformats.org/officeDocument/2006/relationships/hyperlink" Id="rId4"/>
    <Relationship TargetMode="External" Target="9.270-3.dita#DLAD_9_270-3" Type="http://schemas.openxmlformats.org/officeDocument/2006/relationships/hyperlink" Id="rId5"/>
    <Relationship TargetMode="External" Target="9.270-3.dita#DLAD_9_270-3/p_P9_270_3_S_91"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