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**ID__DLAD_9_306__ID**</w:t>
      </w:r>
    </w:p>
    <w:p>
      <w:pPr>
        <w:pStyle w:val="Heading3"/>
        <w:spacing w:after="199"/>
        <w:ind w:left="120"/>
        <w:jc w:val="left"/>
      </w:pPr>
      <w:r>
        <w:rPr>
          <w:rFonts w:ascii="Times New Roman" w:hAnsi="Times New Roman"/>
          <w:color w:val="000000"/>
          <w:sz w:val="31"/>
        </w:rPr>
        <w:t>9.306</w:t>
      </w:r>
      <w:r>
        <w:rPr>
          <w:rFonts w:ascii="Times New Roman" w:hAnsi="Times New Roman"/>
          <w:color w:val="000000"/>
          <w:sz w:val="31"/>
        </w:rPr>
        <w:t xml:space="preserve"> Solicitation requirements.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