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**ID__DLAD_11_392__ID**</w:t>
      </w:r>
    </w:p>
    <w:p>
      <w:pPr>
        <w:pStyle w:val="Heading3"/>
        <w:spacing w:after="199"/>
        <w:ind w:left="120"/>
        <w:jc w:val="left"/>
      </w:pPr>
      <w:r>
        <w:rPr>
          <w:rFonts w:ascii="Times New Roman" w:hAnsi="Times New Roman"/>
          <w:color w:val="000000"/>
          <w:sz w:val="31"/>
        </w:rPr>
        <w:t>11.392</w:t>
      </w:r>
      <w:r>
        <w:rPr>
          <w:rFonts w:ascii="Times New Roman" w:hAnsi="Times New Roman"/>
          <w:color w:val="000000"/>
          <w:sz w:val="31"/>
        </w:rPr>
        <w:t>Traceability documentation.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It is critically important for contracting officers to be able to confirm a documentation trail from the supplier to the approved manufacturer. Contractors are required to make available and retain traceability documentation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4.703</w:t>
        </w:r>
      </w:hyperlink>
      <w:r>
        <w:rPr>
          <w:rFonts w:ascii="Times New Roman" w:hAnsi="Times New Roman"/>
          <w:b w:val="false"/>
          <w:i w:val="false"/>
          <w:color w:val="000000"/>
          <w:sz w:val="22"/>
        </w:rPr>
        <w:t>). Contracting officers shall request unredacted traceability documentation when there are potential indicators of risk such as:</w:t>
      </w:r>
    </w:p>
    <w:p>
      <w:pPr>
        <w:pBdr>
          <w:top w:space="5"/>
          <w:left w:space="5"/>
          <w:bottom w:space="5"/>
          <w:right w:space="5"/>
        </w:pBdr>
        <w:spacing w:after="0"/>
        <w:ind w:left="225"/>
        <w:jc w:val="left"/>
      </w:pPr>
      <w:r>
        <w:rPr>
          <w:rFonts w:ascii="Times New Roman" w:hAnsi="Times New Roman"/>
          <w:b w:val="false"/>
          <w:i w:val="false"/>
          <w:color w:val="000000"/>
          <w:sz w:val="22"/>
        </w:rPr>
        <w:t>Preaward traceability:</w:t>
      </w:r>
    </w:p>
    <w:p>
      <w:pPr>
        <w:pBdr>
          <w:top w:space="5"/>
          <w:left w:space="5"/>
          <w:bottom w:space="5"/>
          <w:right w:space="5"/>
        </w:pBdr>
        <w:spacing w:after="0"/>
        <w:ind w:left="945"/>
        <w:jc w:val="left"/>
      </w:pPr>
      <w:r>
        <w:rPr>
          <w:rFonts w:ascii="Times New Roman" w:hAnsi="Times New Roman"/>
          <w:b w:val="false"/>
          <w:i w:val="false"/>
          <w:color w:val="000000"/>
          <w:sz w:val="22"/>
        </w:rPr>
        <w:t>(i) The supplier has no past DLA history;</w:t>
      </w:r>
    </w:p>
    <w:p>
      <w:pPr>
        <w:pBdr>
          <w:top w:space="5"/>
          <w:left w:space="5"/>
          <w:bottom w:space="5"/>
          <w:right w:space="5"/>
        </w:pBdr>
        <w:spacing w:after="0"/>
        <w:ind w:left="945"/>
        <w:jc w:val="left"/>
      </w:pPr>
      <w:r>
        <w:rPr>
          <w:rFonts w:ascii="Times New Roman" w:hAnsi="Times New Roman"/>
          <w:b w:val="false"/>
          <w:i w:val="false"/>
          <w:color w:val="000000"/>
          <w:sz w:val="22"/>
        </w:rPr>
        <w:t>(ii) The price offered is lower than price of approved source or its authorized distributor;</w:t>
      </w:r>
    </w:p>
    <w:p>
      <w:pPr>
        <w:pBdr>
          <w:top w:space="5"/>
          <w:left w:space="5"/>
          <w:bottom w:space="5"/>
          <w:right w:space="5"/>
        </w:pBdr>
        <w:spacing w:after="0"/>
        <w:ind w:left="945"/>
        <w:jc w:val="left"/>
      </w:pPr>
      <w:r>
        <w:rPr>
          <w:rFonts w:ascii="Times New Roman" w:hAnsi="Times New Roman"/>
          <w:b w:val="false"/>
          <w:i w:val="false"/>
          <w:color w:val="000000"/>
          <w:sz w:val="22"/>
        </w:rPr>
        <w:t>(iii) The price offered is out of line with other quotes or past pricing history;</w:t>
      </w:r>
    </w:p>
    <w:p>
      <w:pPr>
        <w:pBdr>
          <w:top w:space="5"/>
          <w:left w:space="5"/>
          <w:bottom w:space="5"/>
          <w:right w:space="5"/>
        </w:pBdr>
        <w:spacing w:after="0"/>
        <w:ind w:left="945"/>
        <w:jc w:val="left"/>
      </w:pPr>
      <w:r>
        <w:rPr>
          <w:rFonts w:ascii="Times New Roman" w:hAnsi="Times New Roman"/>
          <w:b w:val="false"/>
          <w:i w:val="false"/>
          <w:color w:val="000000"/>
          <w:sz w:val="22"/>
        </w:rPr>
        <w:t>(iv) The price offered for new product is lower than price offered for surplus material;</w:t>
      </w:r>
    </w:p>
    <w:p>
      <w:pPr>
        <w:pBdr>
          <w:top w:space="5"/>
          <w:left w:space="5"/>
          <w:bottom w:space="5"/>
          <w:right w:space="5"/>
        </w:pBdr>
        <w:spacing w:after="0"/>
        <w:ind w:left="945"/>
        <w:jc w:val="left"/>
      </w:pPr>
      <w:r>
        <w:rPr>
          <w:rFonts w:ascii="Times New Roman" w:hAnsi="Times New Roman"/>
          <w:b w:val="false"/>
          <w:i w:val="false"/>
          <w:color w:val="000000"/>
          <w:sz w:val="22"/>
        </w:rPr>
        <w:t>(v) The manufacturer’s Contractor and Government Entity (CAGE) code identified in offer differs from CAGE code of approved manufacturing source in solicitation;</w:t>
      </w:r>
    </w:p>
    <w:p>
      <w:pPr>
        <w:pBdr>
          <w:top w:space="5"/>
          <w:left w:space="5"/>
          <w:bottom w:space="5"/>
          <w:right w:space="5"/>
        </w:pBdr>
        <w:spacing w:after="0"/>
        <w:ind w:left="945"/>
        <w:jc w:val="left"/>
      </w:pPr>
      <w:r>
        <w:rPr>
          <w:rFonts w:ascii="Times New Roman" w:hAnsi="Times New Roman"/>
          <w:b w:val="false"/>
          <w:i w:val="false"/>
          <w:color w:val="000000"/>
          <w:sz w:val="22"/>
        </w:rPr>
        <w:t>(vi) The offeror/contractor is reluctant or unable to provide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(vii) The offeror’s/contractor’s phone number, address, email, or other vital information is missing, invalid, or suspicious;</w:t>
      </w:r>
    </w:p>
    <w:p>
      <w:pPr>
        <w:pBdr>
          <w:top w:space="5"/>
          <w:left w:space="5"/>
          <w:bottom w:space="5"/>
          <w:right w:space="5"/>
        </w:pBdr>
        <w:spacing w:after="0"/>
        <w:ind w:left="945"/>
        <w:jc w:val="left"/>
      </w:pPr>
      <w:r>
        <w:rPr>
          <w:rFonts w:ascii="Times New Roman" w:hAnsi="Times New Roman"/>
          <w:b w:val="false"/>
          <w:i w:val="false"/>
          <w:color w:val="000000"/>
          <w:sz w:val="22"/>
        </w:rPr>
        <w:t>(viii) The contractor invoices without delivering the supplies;</w:t>
      </w:r>
    </w:p>
    <w:p>
      <w:pPr>
        <w:pBdr>
          <w:top w:space="5"/>
          <w:left w:space="5"/>
          <w:bottom w:space="5"/>
          <w:right w:space="5"/>
        </w:pBdr>
        <w:spacing w:after="0"/>
        <w:ind w:left="945"/>
        <w:jc w:val="left"/>
      </w:pPr>
      <w:r>
        <w:rPr>
          <w:rFonts w:ascii="Times New Roman" w:hAnsi="Times New Roman"/>
          <w:b w:val="false"/>
          <w:i w:val="false"/>
          <w:color w:val="000000"/>
          <w:sz w:val="22"/>
        </w:rPr>
        <w:t>(ix)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Examples of acceptable preaward traceability documentation are found at the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Counterfeit Detection and Avoidance Program (CDAP)</w:t>
        </w:r>
      </w:hyperlink>
      <w:r>
        <w:rPr>
          <w:rFonts w:ascii="Times New Roman" w:hAnsi="Times New Roman"/>
          <w:b w:val="false"/>
          <w:i w:val="false"/>
          <w:color w:val="000000"/>
          <w:sz w:val="22"/>
        </w:rPr>
        <w:t xml:space="preserve"> website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http://www.dla.mil/LandandMaritime/Business/Selling/Counterfeit-Detection-Avoidance-Program/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Postaward traceability.</w:t>
      </w:r>
    </w:p>
    <w:p>
      <w:pPr>
        <w:pBdr>
          <w:top w:space="5"/>
          <w:left w:space="5"/>
          <w:bottom w:space="5"/>
          <w:right w:space="5"/>
        </w:pBdr>
        <w:spacing w:after="0"/>
        <w:ind w:left="945"/>
        <w:jc w:val="left"/>
      </w:pPr>
      <w:r>
        <w:rPr>
          <w:rFonts w:ascii="Times New Roman" w:hAnsi="Times New Roman"/>
          <w:b w:val="false"/>
          <w:i w:val="false"/>
          <w:color w:val="000000"/>
          <w:sz w:val="22"/>
        </w:rPr>
        <w:t>(i) If preaward traceability was required or when other circumstances are warranted;</w:t>
      </w:r>
    </w:p>
    <w:p>
      <w:pPr>
        <w:pBdr>
          <w:top w:space="5"/>
          <w:left w:space="5"/>
          <w:bottom w:space="5"/>
          <w:right w:space="5"/>
        </w:pBdr>
        <w:spacing w:after="0"/>
        <w:ind w:left="945"/>
        <w:jc w:val="left"/>
      </w:pPr>
      <w:r>
        <w:rPr>
          <w:rFonts w:ascii="Times New Roman" w:hAnsi="Times New Roman"/>
          <w:b w:val="false"/>
          <w:i w:val="false"/>
          <w:color w:val="000000"/>
          <w:sz w:val="22"/>
        </w:rPr>
        <w:t>(ii) Independent distributors and brokers that do not keep inventory and procure the offered product after contract award. The postaward documentation demonstrates the complete line of ownership before the product is shipped.</w:t>
      </w:r>
    </w:p>
    <w:p>
      <w:pPr>
        <w:pBdr>
          <w:top w:space="5"/>
          <w:left w:space="5"/>
          <w:bottom w:space="5"/>
          <w:right w:space="5"/>
        </w:pBdr>
        <w:spacing w:after="0"/>
        <w:ind w:left="945"/>
        <w:jc w:val="left"/>
      </w:pPr>
      <w:r>
        <w:rPr>
          <w:rFonts w:ascii="Times New Roman" w:hAnsi="Times New Roman"/>
          <w:b w:val="false"/>
          <w:i w:val="false"/>
          <w:color w:val="000000"/>
          <w:sz w:val="22"/>
        </w:rPr>
        <w:t>(iii) Protest is received questioning awardee’s ability or intention to supply exact product. The contracting officer shall immediately request traceability documentation.</w:t>
      </w:r>
    </w:p>
    <w:p>
      <w:pPr>
        <w:pBdr>
          <w:top w:space="5"/>
          <w:left w:space="5"/>
          <w:bottom w:space="5"/>
          <w:right w:space="5"/>
        </w:pBdr>
        <w:spacing w:after="0"/>
        <w:ind w:left="945"/>
        <w:jc w:val="left"/>
      </w:pPr>
      <w:r>
        <w:rPr>
          <w:rFonts w:ascii="Times New Roman" w:hAnsi="Times New Roman"/>
          <w:b w:val="false"/>
          <w:i w:val="false"/>
          <w:color w:val="000000"/>
          <w:sz w:val="22"/>
        </w:rPr>
        <w:t>(iv) The contractor requests a modification changing the part number or other information related to its exact product representation.</w:t>
      </w:r>
    </w:p>
    <w:p>
      <w:pPr>
        <w:pBdr>
          <w:top w:space="5"/>
          <w:left w:space="5"/>
          <w:bottom w:space="5"/>
          <w:right w:space="5"/>
        </w:pBdr>
        <w:spacing w:after="0"/>
        <w:ind w:left="945"/>
        <w:jc w:val="left"/>
      </w:pPr>
      <w:r>
        <w:rPr>
          <w:rFonts w:ascii="Times New Roman" w:hAnsi="Times New Roman"/>
          <w:b w:val="false"/>
          <w:i w:val="false"/>
          <w:color w:val="000000"/>
          <w:sz w:val="22"/>
        </w:rPr>
        <w:t>(v) The contractor is on the DCRL for traceability concerns.</w:t>
      </w:r>
    </w:p>
    <w:p>
      <w:pPr>
        <w:pBdr>
          <w:top w:space="5"/>
          <w:left w:space="5"/>
          <w:bottom w:space="5"/>
          <w:right w:space="5"/>
        </w:pBdr>
        <w:spacing w:after="0"/>
        <w:ind w:left="225"/>
        <w:jc w:val="left"/>
      </w:pPr>
      <w:r>
        <w:rPr>
          <w:rFonts w:ascii="Times New Roman" w:hAnsi="Times New Roman"/>
          <w:b w:val="false"/>
          <w:i w:val="false"/>
          <w:color w:val="000000"/>
          <w:sz w:val="22"/>
        </w:rPr>
        <w:t>If the awardee does not have full traceability information, the contracting officer shall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determines the acceptability of traceability documentation and may request additional documentation necessary to support acceptability. When reviewing traceability documentation, special attention should be given to:</w:t>
      </w:r>
    </w:p>
    <w:p>
      <w:pPr>
        <w:pBdr>
          <w:top w:space="5"/>
          <w:left w:space="5"/>
          <w:bottom w:space="5"/>
          <w:right w:space="5"/>
        </w:pBdr>
        <w:spacing w:after="0"/>
        <w:ind w:left="945"/>
        <w:jc w:val="left"/>
      </w:pPr>
      <w:r>
        <w:rPr>
          <w:rFonts w:ascii="Times New Roman" w:hAnsi="Times New Roman"/>
          <w:b w:val="false"/>
          <w:i w:val="false"/>
          <w:color w:val="000000"/>
          <w:sz w:val="22"/>
        </w:rPr>
        <w:t>(i) The letterhead is correct and/or unaltered;</w:t>
      </w:r>
    </w:p>
    <w:p>
      <w:pPr>
        <w:pBdr>
          <w:top w:space="5"/>
          <w:left w:space="5"/>
          <w:bottom w:space="5"/>
          <w:right w:space="5"/>
        </w:pBdr>
        <w:spacing w:after="0"/>
        <w:ind w:left="945"/>
        <w:jc w:val="left"/>
      </w:pPr>
      <w:r>
        <w:rPr>
          <w:rFonts w:ascii="Times New Roman" w:hAnsi="Times New Roman"/>
          <w:b w:val="false"/>
          <w:i w:val="false"/>
          <w:color w:val="000000"/>
          <w:sz w:val="22"/>
        </w:rPr>
        <w:t>(ii) Signatures are legible and provided by authorized personnel;</w:t>
      </w:r>
    </w:p>
    <w:p>
      <w:pPr>
        <w:pBdr>
          <w:top w:space="5"/>
          <w:left w:space="5"/>
          <w:bottom w:space="5"/>
          <w:right w:space="5"/>
        </w:pBdr>
        <w:spacing w:after="0"/>
        <w:ind w:left="945"/>
        <w:jc w:val="left"/>
      </w:pPr>
      <w:r>
        <w:rPr>
          <w:rFonts w:ascii="Times New Roman" w:hAnsi="Times New Roman"/>
          <w:b w:val="false"/>
          <w:i w:val="false"/>
          <w:color w:val="000000"/>
          <w:sz w:val="22"/>
        </w:rPr>
        <w:t>(iii) There is no evidence of alteration, such as cutting and pasting/white out/scanning;</w:t>
      </w:r>
    </w:p>
    <w:p>
      <w:pPr>
        <w:pBdr>
          <w:top w:space="5"/>
          <w:left w:space="5"/>
          <w:bottom w:space="5"/>
          <w:right w:space="5"/>
        </w:pBdr>
        <w:spacing w:after="0"/>
        <w:ind w:left="945"/>
        <w:jc w:val="left"/>
      </w:pPr>
      <w:r>
        <w:rPr>
          <w:rFonts w:ascii="Times New Roman" w:hAnsi="Times New Roman"/>
          <w:b w:val="false"/>
          <w:i w:val="false"/>
          <w:color w:val="000000"/>
          <w:sz w:val="22"/>
        </w:rPr>
        <w:t>(iv) There are no missing documents;</w:t>
      </w:r>
    </w:p>
    <w:p>
      <w:pPr>
        <w:pBdr>
          <w:top w:space="5"/>
          <w:left w:space="5"/>
          <w:bottom w:space="5"/>
          <w:right w:space="5"/>
        </w:pBdr>
        <w:spacing w:after="0"/>
        <w:ind w:left="945"/>
        <w:jc w:val="left"/>
      </w:pPr>
      <w:r>
        <w:rPr>
          <w:rFonts w:ascii="Times New Roman" w:hAnsi="Times New Roman"/>
          <w:b w:val="false"/>
          <w:i w:val="false"/>
          <w:color w:val="000000"/>
          <w:sz w:val="22"/>
        </w:rPr>
        <w:t>(v) Dates are current;</w:t>
      </w:r>
    </w:p>
    <w:p>
      <w:pPr>
        <w:pBdr>
          <w:top w:space="5"/>
          <w:left w:space="5"/>
          <w:bottom w:space="5"/>
          <w:right w:space="5"/>
        </w:pBdr>
        <w:spacing w:after="0"/>
        <w:ind w:left="945"/>
        <w:jc w:val="left"/>
      </w:pPr>
      <w:r>
        <w:rPr>
          <w:rFonts w:ascii="Times New Roman" w:hAnsi="Times New Roman"/>
          <w:b w:val="false"/>
          <w:i w:val="false"/>
          <w:color w:val="000000"/>
          <w:sz w:val="22"/>
        </w:rPr>
        <w:t>(vi) Phone numbers are accurate;</w:t>
      </w:r>
    </w:p>
    <w:p>
      <w:pPr>
        <w:pBdr>
          <w:top w:space="5"/>
          <w:left w:space="5"/>
          <w:bottom w:space="5"/>
          <w:right w:space="5"/>
        </w:pBdr>
        <w:spacing w:after="0"/>
        <w:ind w:left="945"/>
        <w:jc w:val="left"/>
      </w:pPr>
      <w:r>
        <w:rPr>
          <w:rFonts w:ascii="Times New Roman" w:hAnsi="Times New Roman"/>
          <w:b w:val="false"/>
          <w:i w:val="false"/>
          <w:color w:val="000000"/>
          <w:sz w:val="22"/>
        </w:rPr>
        <w:t>(vii) Font styles are consistent;</w:t>
      </w:r>
    </w:p>
    <w:p>
      <w:pPr>
        <w:pBdr>
          <w:top w:space="5"/>
          <w:left w:space="5"/>
          <w:bottom w:space="5"/>
          <w:right w:space="5"/>
        </w:pBdr>
        <w:spacing w:after="0"/>
        <w:ind w:left="945"/>
        <w:jc w:val="left"/>
      </w:pPr>
      <w:r>
        <w:rPr>
          <w:rFonts w:ascii="Times New Roman" w:hAnsi="Times New Roman"/>
          <w:b w:val="false"/>
          <w:i w:val="false"/>
          <w:color w:val="000000"/>
          <w:sz w:val="22"/>
        </w:rPr>
        <w:t>(viii) There are no handwritten annotations on a typed document;</w:t>
      </w:r>
    </w:p>
    <w:p>
      <w:pPr>
        <w:pBdr>
          <w:top w:space="5"/>
          <w:left w:space="5"/>
          <w:bottom w:space="5"/>
          <w:right w:space="5"/>
        </w:pBdr>
        <w:spacing w:after="0"/>
        <w:ind w:left="945"/>
        <w:jc w:val="left"/>
      </w:pPr>
      <w:r>
        <w:rPr>
          <w:rFonts w:ascii="Times New Roman" w:hAnsi="Times New Roman"/>
          <w:b w:val="false"/>
          <w:i w:val="false"/>
          <w:color w:val="000000"/>
          <w:sz w:val="22"/>
        </w:rPr>
        <w:t>(ix) Line items reflect correct part numbers and quantities;</w:t>
      </w:r>
    </w:p>
    <w:p>
      <w:pPr>
        <w:pBdr>
          <w:top w:space="5"/>
          <w:left w:space="5"/>
          <w:bottom w:space="5"/>
          <w:right w:space="5"/>
        </w:pBdr>
        <w:spacing w:after="0"/>
        <w:ind w:left="945"/>
        <w:jc w:val="left"/>
      </w:pPr>
      <w:r>
        <w:rPr>
          <w:rFonts w:ascii="Times New Roman" w:hAnsi="Times New Roman"/>
          <w:b w:val="false"/>
          <w:i w:val="false"/>
          <w:color w:val="000000"/>
          <w:sz w:val="22"/>
        </w:rPr>
        <w:t>(x) Documents do not appear to have been reproduced repeatedly;</w:t>
      </w:r>
    </w:p>
    <w:p>
      <w:pPr>
        <w:pBdr>
          <w:top w:space="5"/>
          <w:left w:space="5"/>
          <w:bottom w:space="5"/>
          <w:right w:space="5"/>
        </w:pBdr>
        <w:spacing w:after="0"/>
        <w:ind w:left="945"/>
        <w:jc w:val="left"/>
      </w:pPr>
      <w:r>
        <w:rPr>
          <w:rFonts w:ascii="Times New Roman" w:hAnsi="Times New Roman"/>
          <w:b w:val="false"/>
          <w:i w:val="false"/>
          <w:color w:val="000000"/>
          <w:sz w:val="22"/>
        </w:rPr>
        <w:t>(xi) Documents do not have shaded areas, which may indicate information was covered up and the document recopied;</w:t>
      </w:r>
    </w:p>
    <w:p>
      <w:pPr>
        <w:pBdr>
          <w:top w:space="5"/>
          <w:left w:space="5"/>
          <w:bottom w:space="5"/>
          <w:right w:space="5"/>
        </w:pBdr>
        <w:spacing w:after="0"/>
        <w:ind w:left="945"/>
        <w:jc w:val="left"/>
      </w:pPr>
      <w:r>
        <w:rPr>
          <w:rFonts w:ascii="Times New Roman" w:hAnsi="Times New Roman"/>
          <w:b w:val="false"/>
          <w:i w:val="false"/>
          <w:color w:val="000000"/>
          <w:sz w:val="22"/>
        </w:rPr>
        <w:t>(xii) Correct division of manufacturing source is cited; or</w:t>
      </w:r>
    </w:p>
    <w:p>
      <w:pPr>
        <w:pBdr>
          <w:top w:space="5"/>
          <w:left w:space="5"/>
          <w:bottom w:space="5"/>
          <w:right w:space="5"/>
        </w:pBdr>
        <w:spacing w:after="0"/>
        <w:ind w:left="945"/>
        <w:jc w:val="left"/>
      </w:pPr>
      <w:r>
        <w:rPr>
          <w:rFonts w:ascii="Times New Roman" w:hAnsi="Times New Roman"/>
          <w:b w:val="false"/>
          <w:i w:val="false"/>
          <w:color w:val="000000"/>
          <w:sz w:val="22"/>
        </w:rPr>
        <w:t>(xiii) There are no disclaimers in the document (e.g., stating parts cannot be traced to the actual manufacturer or to any specific revision of the part, etc.).</w:t>
      </w:r>
    </w:p>
    <w:p>
      <w:pPr>
        <w:pBdr>
          <w:top w:space="5"/>
          <w:left w:space="5"/>
          <w:bottom w:space="5"/>
          <w:right w:space="5"/>
        </w:pBdr>
        <w:spacing w:after="0"/>
        <w:ind w:left="225"/>
        <w:jc w:val="left"/>
      </w:pPr>
      <w:r>
        <w:rPr>
          <w:rFonts w:ascii="Times New Roman" w:hAnsi="Times New Roman"/>
          <w:b w:val="false"/>
          <w:i w:val="false"/>
          <w:color w:val="000000"/>
          <w:sz w:val="22"/>
        </w:rPr>
        <w:t>If the offeror fails to provide sufficient information preaward within the time frame requested, the contracting officer shall consider the offer technically unacceptable and proceed to the next acceptable offer.</w:t>
      </w:r>
    </w:p>
    <w:p>
      <w:pPr>
        <w:pBdr>
          <w:top w:space="5"/>
          <w:left w:space="5"/>
          <w:bottom w:space="5"/>
          <w:right w:space="5"/>
        </w:pBdr>
        <w:spacing w:after="0"/>
        <w:ind w:left="225"/>
        <w:jc w:val="left"/>
      </w:pPr>
      <w:r>
        <w:rPr>
          <w:rFonts w:ascii="Times New Roman" w:hAnsi="Times New Roman"/>
          <w:b w:val="false"/>
          <w:i w:val="false"/>
          <w:color w:val="000000"/>
          <w:sz w:val="22"/>
        </w:rPr>
        <w:t>If the contractor fails to provide sufficient information postaward within the time frame requested, the award may be cancelled. If it is not in the Government’s best interest to cancel the award, the contracting officer may contact the product specialist to recommend that product verification testing be invoked using procurement note E05 (see 46.292).</w:t>
      </w:r>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reject redacted traceability documentation and notify the offeror or contractor. In all cases, any traceability documentation provided by offerors or contractors shall be treated as proprietary information and stamped accordingly.</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4.703.dita#DLAD_4_703" Type="http://schemas.openxmlformats.org/officeDocument/2006/relationships/hyperlink" Id="rId4"/>
    <Relationship TargetMode="External" Target="http://www.dla.mil/LandandMaritime/Business/Selling/Counterfeit-Detection-Avoidance-Program/" Type="http://schemas.openxmlformats.org/officeDocument/2006/relationships/hyperlink" Id="rId5"/>
    <Relationship TargetMode="External" Target="http://www.dla.mil/LandandMaritime/Business/Selling/Counterfeit-Detection-Avoidance-Progra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